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341"/>
        <w:tblW w:w="9508" w:type="dxa"/>
        <w:tblLayout w:type="fixed"/>
        <w:tblCellMar>
          <w:left w:w="120" w:type="dxa"/>
          <w:right w:w="120" w:type="dxa"/>
        </w:tblCellMar>
        <w:tblLook w:val="0000" w:firstRow="0" w:lastRow="0" w:firstColumn="0" w:lastColumn="0" w:noHBand="0" w:noVBand="0"/>
      </w:tblPr>
      <w:tblGrid>
        <w:gridCol w:w="2377"/>
        <w:gridCol w:w="2377"/>
        <w:gridCol w:w="2377"/>
        <w:gridCol w:w="549"/>
        <w:gridCol w:w="1828"/>
      </w:tblGrid>
      <w:tr w:rsidR="007559F3" w:rsidRPr="007559F3" w14:paraId="0BAB136B" w14:textId="77777777" w:rsidTr="005B3F59">
        <w:tblPrEx>
          <w:tblCellMar>
            <w:top w:w="0" w:type="dxa"/>
            <w:bottom w:w="0" w:type="dxa"/>
          </w:tblCellMar>
        </w:tblPrEx>
        <w:trPr>
          <w:trHeight w:val="351"/>
        </w:trPr>
        <w:tc>
          <w:tcPr>
            <w:tcW w:w="2377" w:type="dxa"/>
            <w:tcBorders>
              <w:top w:val="thinThickThinSmallGap" w:sz="24" w:space="0" w:color="auto"/>
              <w:left w:val="thinThickThinSmallGap" w:sz="24" w:space="0" w:color="auto"/>
              <w:bottom w:val="single" w:sz="12" w:space="0" w:color="auto"/>
              <w:right w:val="single" w:sz="12" w:space="0" w:color="auto"/>
            </w:tcBorders>
            <w:shd w:val="pct5" w:color="000000" w:fill="FFFFFF"/>
          </w:tcPr>
          <w:p w14:paraId="56E2B4C0"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Policy Title:</w:t>
            </w:r>
          </w:p>
        </w:tc>
        <w:tc>
          <w:tcPr>
            <w:tcW w:w="7131" w:type="dxa"/>
            <w:gridSpan w:val="4"/>
            <w:tcBorders>
              <w:top w:val="thinThickThinSmallGap" w:sz="24" w:space="0" w:color="auto"/>
              <w:left w:val="nil"/>
              <w:bottom w:val="single" w:sz="12" w:space="0" w:color="auto"/>
              <w:right w:val="thinThickThinSmallGap" w:sz="24" w:space="0" w:color="auto"/>
            </w:tcBorders>
          </w:tcPr>
          <w:p w14:paraId="523D1067"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Satisfactory Academic Progress (SAP Policy &amp; Procedure)</w:t>
            </w:r>
          </w:p>
        </w:tc>
      </w:tr>
      <w:tr w:rsidR="007559F3" w:rsidRPr="007559F3" w14:paraId="0B0593A6" w14:textId="77777777" w:rsidTr="005B3F59">
        <w:tblPrEx>
          <w:tblCellMar>
            <w:top w:w="0" w:type="dxa"/>
            <w:bottom w:w="0" w:type="dxa"/>
          </w:tblCellMar>
        </w:tblPrEx>
        <w:trPr>
          <w:trHeight w:val="367"/>
        </w:trPr>
        <w:tc>
          <w:tcPr>
            <w:tcW w:w="2377" w:type="dxa"/>
            <w:tcBorders>
              <w:top w:val="single" w:sz="12" w:space="0" w:color="auto"/>
              <w:left w:val="thinThickThinSmallGap" w:sz="24" w:space="0" w:color="auto"/>
              <w:bottom w:val="single" w:sz="12" w:space="0" w:color="auto"/>
              <w:right w:val="single" w:sz="12" w:space="0" w:color="auto"/>
            </w:tcBorders>
            <w:shd w:val="pct5" w:color="000000" w:fill="FFFFFF"/>
          </w:tcPr>
          <w:p w14:paraId="3D1494BC"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Policy Type:</w:t>
            </w:r>
          </w:p>
        </w:tc>
        <w:tc>
          <w:tcPr>
            <w:tcW w:w="2377" w:type="dxa"/>
            <w:tcBorders>
              <w:top w:val="single" w:sz="12" w:space="0" w:color="auto"/>
              <w:left w:val="nil"/>
              <w:bottom w:val="single" w:sz="12" w:space="0" w:color="auto"/>
              <w:right w:val="single" w:sz="12" w:space="0" w:color="auto"/>
            </w:tcBorders>
          </w:tcPr>
          <w:p w14:paraId="599AD839"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Academics/</w:t>
            </w:r>
          </w:p>
          <w:p w14:paraId="2465DA13"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Financial Services</w:t>
            </w:r>
          </w:p>
        </w:tc>
        <w:tc>
          <w:tcPr>
            <w:tcW w:w="2377" w:type="dxa"/>
            <w:tcBorders>
              <w:top w:val="single" w:sz="12" w:space="0" w:color="auto"/>
              <w:left w:val="nil"/>
              <w:bottom w:val="single" w:sz="12" w:space="0" w:color="auto"/>
              <w:right w:val="single" w:sz="12" w:space="0" w:color="auto"/>
            </w:tcBorders>
            <w:shd w:val="pct5" w:color="000000" w:fill="FFFFFF"/>
          </w:tcPr>
          <w:p w14:paraId="726BDCCC"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Effective Date:</w:t>
            </w:r>
          </w:p>
        </w:tc>
        <w:tc>
          <w:tcPr>
            <w:tcW w:w="2377" w:type="dxa"/>
            <w:gridSpan w:val="2"/>
            <w:tcBorders>
              <w:top w:val="single" w:sz="12" w:space="0" w:color="auto"/>
              <w:left w:val="nil"/>
              <w:bottom w:val="single" w:sz="12" w:space="0" w:color="auto"/>
              <w:right w:val="thinThickThinSmallGap" w:sz="24" w:space="0" w:color="auto"/>
            </w:tcBorders>
          </w:tcPr>
          <w:p w14:paraId="2F026C68"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05/2018</w:t>
            </w:r>
          </w:p>
        </w:tc>
      </w:tr>
      <w:tr w:rsidR="007559F3" w:rsidRPr="007559F3" w14:paraId="44068CE5" w14:textId="77777777" w:rsidTr="005B3F59">
        <w:tblPrEx>
          <w:tblCellMar>
            <w:top w:w="0" w:type="dxa"/>
            <w:bottom w:w="0" w:type="dxa"/>
          </w:tblCellMar>
        </w:tblPrEx>
        <w:trPr>
          <w:trHeight w:val="351"/>
        </w:trPr>
        <w:tc>
          <w:tcPr>
            <w:tcW w:w="2377" w:type="dxa"/>
            <w:tcBorders>
              <w:top w:val="single" w:sz="12" w:space="0" w:color="auto"/>
              <w:left w:val="thinThickThinSmallGap" w:sz="24" w:space="0" w:color="auto"/>
              <w:bottom w:val="single" w:sz="12" w:space="0" w:color="auto"/>
              <w:right w:val="single" w:sz="12" w:space="0" w:color="auto"/>
            </w:tcBorders>
            <w:shd w:val="pct5" w:color="000000" w:fill="FFFFFF"/>
          </w:tcPr>
          <w:p w14:paraId="6FFDEDD1"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Purpose:</w:t>
            </w:r>
          </w:p>
        </w:tc>
        <w:tc>
          <w:tcPr>
            <w:tcW w:w="7131" w:type="dxa"/>
            <w:gridSpan w:val="4"/>
            <w:tcBorders>
              <w:top w:val="single" w:sz="12" w:space="0" w:color="auto"/>
              <w:left w:val="nil"/>
              <w:bottom w:val="single" w:sz="12" w:space="0" w:color="auto"/>
              <w:right w:val="thinThickThinSmallGap" w:sz="24" w:space="0" w:color="auto"/>
            </w:tcBorders>
          </w:tcPr>
          <w:p w14:paraId="7B9952B3"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To establish guidelines for Satisfactory Academic Progress</w:t>
            </w:r>
          </w:p>
        </w:tc>
      </w:tr>
      <w:tr w:rsidR="007559F3" w:rsidRPr="007559F3" w14:paraId="7E3252A0" w14:textId="77777777" w:rsidTr="005B3F59">
        <w:tblPrEx>
          <w:tblCellMar>
            <w:top w:w="0" w:type="dxa"/>
            <w:bottom w:w="0" w:type="dxa"/>
          </w:tblCellMar>
        </w:tblPrEx>
        <w:trPr>
          <w:trHeight w:val="591"/>
        </w:trPr>
        <w:tc>
          <w:tcPr>
            <w:tcW w:w="2377" w:type="dxa"/>
            <w:tcBorders>
              <w:top w:val="single" w:sz="12" w:space="0" w:color="auto"/>
              <w:left w:val="thinThickThinSmallGap" w:sz="24" w:space="0" w:color="auto"/>
              <w:bottom w:val="thinThickThinSmallGap" w:sz="24" w:space="0" w:color="auto"/>
              <w:right w:val="single" w:sz="12" w:space="0" w:color="auto"/>
            </w:tcBorders>
            <w:shd w:val="pct5" w:color="000000" w:fill="FFFFFF"/>
          </w:tcPr>
          <w:p w14:paraId="4A580E60" w14:textId="77777777" w:rsidR="007559F3" w:rsidRPr="007559F3" w:rsidRDefault="007559F3" w:rsidP="007559F3">
            <w:pPr>
              <w:widowControl w:val="0"/>
              <w:autoSpaceDE w:val="0"/>
              <w:autoSpaceDN w:val="0"/>
              <w:adjustRightInd w:val="0"/>
              <w:spacing w:after="0"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Regulation Reference:</w:t>
            </w:r>
          </w:p>
        </w:tc>
        <w:tc>
          <w:tcPr>
            <w:tcW w:w="5303" w:type="dxa"/>
            <w:gridSpan w:val="3"/>
            <w:tcBorders>
              <w:top w:val="single" w:sz="12" w:space="0" w:color="auto"/>
              <w:left w:val="nil"/>
              <w:bottom w:val="thinThickThinSmallGap" w:sz="24" w:space="0" w:color="auto"/>
              <w:right w:val="thinThickThinSmallGap" w:sz="24" w:space="0" w:color="auto"/>
            </w:tcBorders>
          </w:tcPr>
          <w:p w14:paraId="2F2C42E8"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N/A</w:t>
            </w:r>
          </w:p>
        </w:tc>
        <w:tc>
          <w:tcPr>
            <w:tcW w:w="1828" w:type="dxa"/>
            <w:tcBorders>
              <w:top w:val="single" w:sz="12" w:space="0" w:color="auto"/>
              <w:left w:val="nil"/>
              <w:bottom w:val="thinThickThinSmallGap" w:sz="24" w:space="0" w:color="auto"/>
              <w:right w:val="thinThickThinSmallGap" w:sz="24" w:space="0" w:color="auto"/>
            </w:tcBorders>
          </w:tcPr>
          <w:p w14:paraId="500F8370" w14:textId="77777777" w:rsidR="007559F3" w:rsidRPr="007559F3" w:rsidRDefault="007559F3" w:rsidP="007559F3">
            <w:pPr>
              <w:widowControl w:val="0"/>
              <w:autoSpaceDE w:val="0"/>
              <w:autoSpaceDN w:val="0"/>
              <w:adjustRightInd w:val="0"/>
              <w:spacing w:after="58" w:line="240" w:lineRule="auto"/>
              <w:rPr>
                <w:rFonts w:ascii="Times New Roman" w:eastAsia="Times New Roman" w:hAnsi="Times New Roman" w:cs="Times New Roman"/>
                <w:kern w:val="0"/>
                <w:lang w:bidi="he-IL"/>
                <w14:ligatures w14:val="none"/>
              </w:rPr>
            </w:pPr>
            <w:r w:rsidRPr="007559F3">
              <w:rPr>
                <w:rFonts w:ascii="Times New Roman" w:eastAsia="Times New Roman" w:hAnsi="Times New Roman" w:cs="Times New Roman"/>
                <w:kern w:val="0"/>
                <w:lang w:bidi="he-IL"/>
                <w14:ligatures w14:val="none"/>
              </w:rPr>
              <w:t>#</w:t>
            </w:r>
          </w:p>
        </w:tc>
      </w:tr>
    </w:tbl>
    <w:p w14:paraId="6B98B663" w14:textId="77777777" w:rsidR="007559F3" w:rsidRPr="007559F3" w:rsidRDefault="007559F3" w:rsidP="007559F3">
      <w:pPr>
        <w:widowControl w:val="0"/>
        <w:autoSpaceDE w:val="0"/>
        <w:autoSpaceDN w:val="0"/>
        <w:adjustRightInd w:val="0"/>
        <w:spacing w:after="0" w:line="240" w:lineRule="auto"/>
        <w:rPr>
          <w:rFonts w:ascii="Times New Roman" w:eastAsia="Times New Roman" w:hAnsi="Times New Roman" w:cs="Times New Roman"/>
          <w:kern w:val="0"/>
          <w:lang w:bidi="he-IL"/>
          <w14:ligatures w14:val="none"/>
        </w:rPr>
      </w:pPr>
    </w:p>
    <w:p w14:paraId="5C99F451" w14:textId="77777777" w:rsidR="007559F3" w:rsidRPr="007559F3" w:rsidRDefault="007559F3" w:rsidP="007559F3">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7559F3">
        <w:rPr>
          <w:rFonts w:ascii="Times New Roman" w:eastAsia="Times New Roman" w:hAnsi="Times New Roman" w:cs="Times New Roman"/>
          <w:b/>
          <w:kern w:val="0"/>
          <w:sz w:val="28"/>
          <w:lang w:bidi="he-IL"/>
          <w14:ligatures w14:val="none"/>
        </w:rPr>
        <w:t xml:space="preserve">Policy:  </w:t>
      </w:r>
      <w:r w:rsidRPr="007559F3">
        <w:rPr>
          <w:rFonts w:ascii="Times New Roman" w:eastAsia="Calibri" w:hAnsi="Times New Roman" w:cs="Times New Roman"/>
          <w:kern w:val="0"/>
          <w:sz w:val="22"/>
          <w:szCs w:val="22"/>
          <w14:ligatures w14:val="none"/>
        </w:rPr>
        <w:t xml:space="preserve">Satisfactory academic progress is necessary to maintain eligibility for Title IV Federal Student Aid programs, if applicable, and to continue as a student in good standing at </w:t>
      </w:r>
      <w:proofErr w:type="spellStart"/>
      <w:r w:rsidRPr="007559F3">
        <w:rPr>
          <w:rFonts w:ascii="Times New Roman" w:eastAsia="Calibri" w:hAnsi="Times New Roman" w:cs="Times New Roman"/>
          <w:kern w:val="0"/>
          <w:sz w:val="22"/>
          <w:szCs w:val="22"/>
          <w14:ligatures w14:val="none"/>
        </w:rPr>
        <w:t>Stepful</w:t>
      </w:r>
      <w:proofErr w:type="spellEnd"/>
      <w:r w:rsidRPr="007559F3">
        <w:rPr>
          <w:rFonts w:ascii="Times New Roman" w:eastAsia="Calibri" w:hAnsi="Times New Roman" w:cs="Times New Roman"/>
          <w:kern w:val="0"/>
          <w:sz w:val="22"/>
          <w:szCs w:val="22"/>
          <w14:ligatures w14:val="none"/>
        </w:rPr>
        <w:t xml:space="preserve"> College (SC).</w:t>
      </w:r>
    </w:p>
    <w:p w14:paraId="193EA71D"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39DB54A"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All students must meet the following minimum standards of Satisfactory Academic Progress (SAP):</w:t>
      </w:r>
    </w:p>
    <w:p w14:paraId="2440A2BD"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 Achieve a minimum cumulative grade point average (CGPA) at all pre-determined evaluation points;</w:t>
      </w:r>
    </w:p>
    <w:p w14:paraId="5EAFF1BE"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 Achieve a minimum completion percentage (CP) at all pre-determined evaluation points; and</w:t>
      </w:r>
    </w:p>
    <w:p w14:paraId="1ED9F1FF"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 Complete the program of study within a Maximum Time Frame (MTF), which is 150% of the normal program length.</w:t>
      </w:r>
    </w:p>
    <w:p w14:paraId="2A2593A9" w14:textId="77777777" w:rsidR="007559F3" w:rsidRPr="007559F3" w:rsidRDefault="007559F3" w:rsidP="007559F3">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E9E93EE" w14:textId="77777777" w:rsidR="007559F3" w:rsidRPr="007559F3" w:rsidRDefault="007559F3" w:rsidP="007559F3">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b/>
          <w:kern w:val="0"/>
          <w:sz w:val="28"/>
          <w:lang w:bidi="he-IL"/>
          <w14:ligatures w14:val="none"/>
        </w:rPr>
      </w:pPr>
    </w:p>
    <w:p w14:paraId="249E13FD" w14:textId="77777777" w:rsidR="007559F3" w:rsidRPr="007559F3" w:rsidRDefault="007559F3" w:rsidP="007559F3">
      <w:pPr>
        <w:widowControl w:val="0"/>
        <w:autoSpaceDE w:val="0"/>
        <w:autoSpaceDN w:val="0"/>
        <w:adjustRightInd w:val="0"/>
        <w:spacing w:after="0" w:line="240" w:lineRule="auto"/>
        <w:jc w:val="both"/>
        <w:rPr>
          <w:rFonts w:ascii="Times New Roman" w:eastAsia="Times New Roman" w:hAnsi="Times New Roman" w:cs="Times New Roman"/>
          <w:b/>
          <w:kern w:val="0"/>
          <w:sz w:val="28"/>
          <w:szCs w:val="28"/>
          <w:lang w:bidi="he-IL"/>
          <w14:ligatures w14:val="none"/>
        </w:rPr>
      </w:pPr>
    </w:p>
    <w:p w14:paraId="5F719492" w14:textId="77777777" w:rsidR="007559F3" w:rsidRPr="007559F3" w:rsidRDefault="007559F3" w:rsidP="007559F3">
      <w:pPr>
        <w:widowControl w:val="0"/>
        <w:autoSpaceDE w:val="0"/>
        <w:autoSpaceDN w:val="0"/>
        <w:adjustRightInd w:val="0"/>
        <w:spacing w:after="0" w:line="240" w:lineRule="auto"/>
        <w:rPr>
          <w:rFonts w:ascii="Times New Roman" w:eastAsia="Times New Roman" w:hAnsi="Times New Roman" w:cs="Times New Roman"/>
          <w:b/>
          <w:kern w:val="0"/>
          <w:sz w:val="28"/>
          <w:szCs w:val="28"/>
          <w:lang w:bidi="he-IL"/>
          <w14:ligatures w14:val="none"/>
        </w:rPr>
      </w:pPr>
      <w:r w:rsidRPr="007559F3">
        <w:rPr>
          <w:rFonts w:ascii="Times New Roman" w:eastAsia="Times New Roman" w:hAnsi="Times New Roman" w:cs="Times New Roman"/>
          <w:b/>
          <w:kern w:val="0"/>
          <w:sz w:val="28"/>
          <w:szCs w:val="28"/>
          <w:lang w:bidi="he-IL"/>
          <w14:ligatures w14:val="none"/>
        </w:rPr>
        <w:t>Procedure:</w:t>
      </w:r>
      <w:r w:rsidRPr="007559F3">
        <w:rPr>
          <w:rFonts w:ascii="Times New Roman" w:eastAsia="Times New Roman" w:hAnsi="Times New Roman" w:cs="Times New Roman"/>
          <w:b/>
          <w:kern w:val="0"/>
          <w:sz w:val="28"/>
          <w:szCs w:val="28"/>
          <w:lang w:bidi="he-IL"/>
          <w14:ligatures w14:val="none"/>
        </w:rPr>
        <w:tab/>
      </w:r>
      <w:r w:rsidRPr="007559F3">
        <w:rPr>
          <w:rFonts w:ascii="Times New Roman" w:eastAsia="Times New Roman" w:hAnsi="Times New Roman" w:cs="Times New Roman"/>
          <w:kern w:val="0"/>
          <w:sz w:val="22"/>
          <w:szCs w:val="22"/>
          <w:lang w:bidi="he-IL"/>
          <w14:ligatures w14:val="none"/>
        </w:rPr>
        <w:t xml:space="preserve">The Registrar and/or Dean/Director of Education are responsible for evaluating academic progress at the required evaluation points for each active student. At course-end, the Registrar and/or Dean/Director of Education runs a Satisfactory Academic Progress Calculation Report in </w:t>
      </w:r>
      <w:proofErr w:type="spellStart"/>
      <w:r w:rsidRPr="007559F3">
        <w:rPr>
          <w:rFonts w:ascii="Times New Roman" w:eastAsia="Times New Roman" w:hAnsi="Times New Roman" w:cs="Times New Roman"/>
          <w:kern w:val="0"/>
          <w:sz w:val="22"/>
          <w:szCs w:val="22"/>
          <w:lang w:bidi="he-IL"/>
          <w14:ligatures w14:val="none"/>
        </w:rPr>
        <w:t>CampusVue</w:t>
      </w:r>
      <w:proofErr w:type="spellEnd"/>
      <w:r w:rsidRPr="007559F3">
        <w:rPr>
          <w:rFonts w:ascii="Times New Roman" w:eastAsia="Times New Roman" w:hAnsi="Times New Roman" w:cs="Times New Roman"/>
          <w:kern w:val="0"/>
          <w:sz w:val="22"/>
          <w:szCs w:val="22"/>
          <w:lang w:bidi="he-IL"/>
          <w14:ligatures w14:val="none"/>
        </w:rPr>
        <w:t xml:space="preserve">. This report can be filtered out by SAP Met and SAP Not Met. Once the report is previewed and finished, students not meeting SAP are placed on SAP Warning. The Program Directors are required to meet with the student </w:t>
      </w:r>
      <w:proofErr w:type="gramStart"/>
      <w:r w:rsidRPr="007559F3">
        <w:rPr>
          <w:rFonts w:ascii="Times New Roman" w:eastAsia="Times New Roman" w:hAnsi="Times New Roman" w:cs="Times New Roman"/>
          <w:kern w:val="0"/>
          <w:sz w:val="22"/>
          <w:szCs w:val="22"/>
          <w:lang w:bidi="he-IL"/>
          <w14:ligatures w14:val="none"/>
        </w:rPr>
        <w:t>not meeting</w:t>
      </w:r>
      <w:proofErr w:type="gramEnd"/>
      <w:r w:rsidRPr="007559F3">
        <w:rPr>
          <w:rFonts w:ascii="Times New Roman" w:eastAsia="Times New Roman" w:hAnsi="Times New Roman" w:cs="Times New Roman"/>
          <w:kern w:val="0"/>
          <w:sz w:val="22"/>
          <w:szCs w:val="22"/>
          <w:lang w:bidi="he-IL"/>
          <w14:ligatures w14:val="none"/>
        </w:rPr>
        <w:t xml:space="preserve"> SAP to conduct an advisement meeting and have the student sign a letter of understanding. This letter is kept in the student’s academic file. The student may be either removed from SAP or dismissed from school </w:t>
      </w:r>
      <w:proofErr w:type="gramStart"/>
      <w:r w:rsidRPr="007559F3">
        <w:rPr>
          <w:rFonts w:ascii="Times New Roman" w:eastAsia="Times New Roman" w:hAnsi="Times New Roman" w:cs="Times New Roman"/>
          <w:kern w:val="0"/>
          <w:sz w:val="22"/>
          <w:szCs w:val="22"/>
          <w:lang w:bidi="he-IL"/>
          <w14:ligatures w14:val="none"/>
        </w:rPr>
        <w:t>as a result of</w:t>
      </w:r>
      <w:proofErr w:type="gramEnd"/>
      <w:r w:rsidRPr="007559F3">
        <w:rPr>
          <w:rFonts w:ascii="Times New Roman" w:eastAsia="Times New Roman" w:hAnsi="Times New Roman" w:cs="Times New Roman"/>
          <w:kern w:val="0"/>
          <w:sz w:val="22"/>
          <w:szCs w:val="22"/>
          <w:lang w:bidi="he-IL"/>
          <w14:ligatures w14:val="none"/>
        </w:rPr>
        <w:t xml:space="preserve"> academic progress in subsequent semesters following the warning status. Students may appeal the decision of dismissal.</w:t>
      </w:r>
    </w:p>
    <w:p w14:paraId="235D7FB4" w14:textId="77777777" w:rsidR="007559F3" w:rsidRPr="007559F3" w:rsidRDefault="007559F3" w:rsidP="007559F3">
      <w:pPr>
        <w:widowControl w:val="0"/>
        <w:autoSpaceDE w:val="0"/>
        <w:autoSpaceDN w:val="0"/>
        <w:adjustRightInd w:val="0"/>
        <w:spacing w:after="0" w:line="240" w:lineRule="auto"/>
        <w:rPr>
          <w:rFonts w:ascii="Times New Roman" w:eastAsia="Times New Roman" w:hAnsi="Times New Roman" w:cs="Times New Roman"/>
          <w:b/>
          <w:kern w:val="0"/>
          <w:sz w:val="28"/>
          <w:szCs w:val="28"/>
          <w:lang w:bidi="he-IL"/>
          <w14:ligatures w14:val="none"/>
        </w:rPr>
      </w:pPr>
    </w:p>
    <w:p w14:paraId="54F8EDFD" w14:textId="77777777" w:rsidR="007559F3" w:rsidRPr="007559F3" w:rsidRDefault="007559F3" w:rsidP="007559F3">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7559F3">
        <w:rPr>
          <w:rFonts w:ascii="Times New Roman" w:eastAsia="Calibri" w:hAnsi="Times New Roman" w:cs="Times New Roman"/>
          <w:kern w:val="0"/>
          <w:sz w:val="22"/>
          <w:szCs w:val="22"/>
          <w14:ligatures w14:val="none"/>
        </w:rPr>
        <w:t>Stepful</w:t>
      </w:r>
      <w:proofErr w:type="spellEnd"/>
      <w:r w:rsidRPr="007559F3">
        <w:rPr>
          <w:rFonts w:ascii="Times New Roman" w:eastAsia="Calibri" w:hAnsi="Times New Roman" w:cs="Times New Roman"/>
          <w:kern w:val="0"/>
          <w:sz w:val="22"/>
          <w:szCs w:val="22"/>
          <w14:ligatures w14:val="none"/>
        </w:rPr>
        <w:t xml:space="preserve"> College defines Satisfactory Academic Progress as follows:</w:t>
      </w:r>
    </w:p>
    <w:p w14:paraId="6CCED554" w14:textId="77777777" w:rsidR="007559F3" w:rsidRPr="007559F3" w:rsidRDefault="007559F3" w:rsidP="007559F3">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5DAF039"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p>
    <w:p w14:paraId="4B3EAC86"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Diploma Programs (one academic year or more in length)</w:t>
      </w:r>
    </w:p>
    <w:tbl>
      <w:tblPr>
        <w:tblW w:w="0" w:type="auto"/>
        <w:tblInd w:w="80" w:type="dxa"/>
        <w:tblLayout w:type="fixed"/>
        <w:tblCellMar>
          <w:left w:w="0" w:type="dxa"/>
          <w:right w:w="0" w:type="dxa"/>
        </w:tblCellMar>
        <w:tblLook w:val="0000" w:firstRow="0" w:lastRow="0" w:firstColumn="0" w:lastColumn="0" w:noHBand="0" w:noVBand="0"/>
      </w:tblPr>
      <w:tblGrid>
        <w:gridCol w:w="5591"/>
        <w:gridCol w:w="1699"/>
        <w:gridCol w:w="3162"/>
      </w:tblGrid>
      <w:tr w:rsidR="007559F3" w:rsidRPr="007559F3" w14:paraId="7CBD1F12" w14:textId="77777777" w:rsidTr="005B3F59">
        <w:tblPrEx>
          <w:tblCellMar>
            <w:top w:w="0" w:type="dxa"/>
            <w:left w:w="0" w:type="dxa"/>
            <w:bottom w:w="0" w:type="dxa"/>
            <w:right w:w="0" w:type="dxa"/>
          </w:tblCellMar>
        </w:tblPrEx>
        <w:trPr>
          <w:trHeight w:val="40"/>
        </w:trPr>
        <w:tc>
          <w:tcPr>
            <w:tcW w:w="559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6D6726"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Required Evaluation Point</w:t>
            </w:r>
          </w:p>
        </w:tc>
        <w:tc>
          <w:tcPr>
            <w:tcW w:w="169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1AE7D0"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CGPA</w:t>
            </w:r>
          </w:p>
        </w:tc>
        <w:tc>
          <w:tcPr>
            <w:tcW w:w="31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3BC338"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 xml:space="preserve">Completion </w:t>
            </w:r>
            <w:proofErr w:type="gramStart"/>
            <w:r w:rsidRPr="007559F3">
              <w:rPr>
                <w:rFonts w:ascii="Times New Roman" w:eastAsia="Times New Roman" w:hAnsi="Times New Roman" w:cs="Times New Roman"/>
                <w:b/>
                <w:color w:val="000000"/>
                <w:kern w:val="0"/>
                <w:sz w:val="22"/>
                <w:szCs w:val="22"/>
                <w14:ligatures w14:val="none"/>
              </w:rPr>
              <w:t>%</w:t>
            </w:r>
            <w:r w:rsidRPr="007559F3">
              <w:rPr>
                <w:rFonts w:ascii="Times New Roman" w:eastAsia="Times New Roman" w:hAnsi="Times New Roman" w:cs="Times New Roman"/>
                <w:color w:val="000000"/>
                <w:kern w:val="0"/>
                <w:sz w:val="22"/>
                <w:szCs w:val="22"/>
                <w14:ligatures w14:val="none"/>
              </w:rPr>
              <w:t>(</w:t>
            </w:r>
            <w:proofErr w:type="gramEnd"/>
            <w:r w:rsidRPr="007559F3">
              <w:rPr>
                <w:rFonts w:ascii="Times New Roman" w:eastAsia="Times New Roman" w:hAnsi="Times New Roman" w:cs="Times New Roman"/>
                <w:color w:val="000000"/>
                <w:kern w:val="0"/>
                <w:sz w:val="22"/>
                <w:szCs w:val="22"/>
                <w14:ligatures w14:val="none"/>
              </w:rPr>
              <w:t>successful completion of credit-hours attempted)</w:t>
            </w:r>
          </w:p>
        </w:tc>
      </w:tr>
      <w:tr w:rsidR="007559F3" w:rsidRPr="007559F3" w14:paraId="77174380" w14:textId="77777777" w:rsidTr="005B3F59">
        <w:tblPrEx>
          <w:tblCellMar>
            <w:top w:w="0" w:type="dxa"/>
            <w:left w:w="0" w:type="dxa"/>
            <w:bottom w:w="0" w:type="dxa"/>
            <w:right w:w="0" w:type="dxa"/>
          </w:tblCellMar>
        </w:tblPrEx>
        <w:trPr>
          <w:trHeight w:val="40"/>
        </w:trPr>
        <w:tc>
          <w:tcPr>
            <w:tcW w:w="559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5DECAC"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First Semester</w:t>
            </w:r>
          </w:p>
        </w:tc>
        <w:tc>
          <w:tcPr>
            <w:tcW w:w="169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4D7B7E"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1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877819"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 xml:space="preserve">67% </w:t>
            </w:r>
          </w:p>
        </w:tc>
      </w:tr>
      <w:tr w:rsidR="007559F3" w:rsidRPr="007559F3" w14:paraId="2ACFAAAA" w14:textId="77777777" w:rsidTr="005B3F59">
        <w:tblPrEx>
          <w:tblCellMar>
            <w:top w:w="0" w:type="dxa"/>
            <w:left w:w="0" w:type="dxa"/>
            <w:bottom w:w="0" w:type="dxa"/>
            <w:right w:w="0" w:type="dxa"/>
          </w:tblCellMar>
        </w:tblPrEx>
        <w:trPr>
          <w:trHeight w:val="40"/>
        </w:trPr>
        <w:tc>
          <w:tcPr>
            <w:tcW w:w="559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857F5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Second Semester</w:t>
            </w:r>
          </w:p>
        </w:tc>
        <w:tc>
          <w:tcPr>
            <w:tcW w:w="169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72C734"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1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51023C"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0B1EA6E4" w14:textId="77777777" w:rsidTr="005B3F59">
        <w:tblPrEx>
          <w:tblCellMar>
            <w:top w:w="0" w:type="dxa"/>
            <w:left w:w="0" w:type="dxa"/>
            <w:bottom w:w="0" w:type="dxa"/>
            <w:right w:w="0" w:type="dxa"/>
          </w:tblCellMar>
        </w:tblPrEx>
        <w:trPr>
          <w:trHeight w:val="411"/>
        </w:trPr>
        <w:tc>
          <w:tcPr>
            <w:tcW w:w="559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D300B0"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Each Subsequent Semester</w:t>
            </w:r>
          </w:p>
        </w:tc>
        <w:tc>
          <w:tcPr>
            <w:tcW w:w="169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CE645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1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EC0F9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bl>
    <w:p w14:paraId="31F5318D"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p>
    <w:p w14:paraId="267AB4F5"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p>
    <w:p w14:paraId="4C7CE076"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Associate of Applied Science Programs</w:t>
      </w:r>
    </w:p>
    <w:tbl>
      <w:tblPr>
        <w:tblW w:w="0" w:type="auto"/>
        <w:tblInd w:w="80" w:type="dxa"/>
        <w:tblLayout w:type="fixed"/>
        <w:tblCellMar>
          <w:left w:w="0" w:type="dxa"/>
          <w:right w:w="0" w:type="dxa"/>
        </w:tblCellMar>
        <w:tblLook w:val="0000" w:firstRow="0" w:lastRow="0" w:firstColumn="0" w:lastColumn="0" w:noHBand="0" w:noVBand="0"/>
      </w:tblPr>
      <w:tblGrid>
        <w:gridCol w:w="5527"/>
        <w:gridCol w:w="1680"/>
        <w:gridCol w:w="3081"/>
      </w:tblGrid>
      <w:tr w:rsidR="007559F3" w:rsidRPr="007559F3" w14:paraId="14F9268C"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BBF751"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Required Evaluation Point</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F0BC03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CGPA</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D98CBD"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Completion %</w:t>
            </w:r>
          </w:p>
        </w:tc>
      </w:tr>
      <w:tr w:rsidR="007559F3" w:rsidRPr="007559F3" w14:paraId="24011A2B"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489450"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First Semester</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C6E9788"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B80768"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5BD911DA"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55A0FC"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Second Semester</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0DDAAF"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8B3E12"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592B734E"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8EC5D1"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Third Semester</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47B2CD"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A32E13"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5145A2A9"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F3607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Fourth Semester</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C862A2"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7CE40E"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1160C277" w14:textId="77777777" w:rsidTr="005B3F59">
        <w:tblPrEx>
          <w:tblCellMar>
            <w:top w:w="0" w:type="dxa"/>
            <w:left w:w="0" w:type="dxa"/>
            <w:bottom w:w="0" w:type="dxa"/>
            <w:right w:w="0" w:type="dxa"/>
          </w:tblCellMar>
        </w:tblPrEx>
        <w:trPr>
          <w:trHeight w:val="36"/>
        </w:trPr>
        <w:tc>
          <w:tcPr>
            <w:tcW w:w="55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7E025C"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Each Subsequent Semester</w:t>
            </w:r>
          </w:p>
        </w:tc>
        <w:tc>
          <w:tcPr>
            <w:tcW w:w="1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2D82E0"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8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02A42A"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bl>
    <w:p w14:paraId="48111597"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p>
    <w:p w14:paraId="52760AD6"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i/>
          <w:iCs/>
          <w:color w:val="000000"/>
          <w:kern w:val="0"/>
          <w:sz w:val="22"/>
          <w:szCs w:val="22"/>
          <w14:ligatures w14:val="none"/>
        </w:rPr>
      </w:pPr>
    </w:p>
    <w:p w14:paraId="158A8A70"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Bachelor of Science Programs</w:t>
      </w:r>
    </w:p>
    <w:tbl>
      <w:tblPr>
        <w:tblW w:w="0" w:type="auto"/>
        <w:tblInd w:w="80" w:type="dxa"/>
        <w:tblLayout w:type="fixed"/>
        <w:tblCellMar>
          <w:left w:w="0" w:type="dxa"/>
          <w:right w:w="0" w:type="dxa"/>
        </w:tblCellMar>
        <w:tblLook w:val="0000" w:firstRow="0" w:lastRow="0" w:firstColumn="0" w:lastColumn="0" w:noHBand="0" w:noVBand="0"/>
      </w:tblPr>
      <w:tblGrid>
        <w:gridCol w:w="5575"/>
        <w:gridCol w:w="1603"/>
        <w:gridCol w:w="3047"/>
      </w:tblGrid>
      <w:tr w:rsidR="007559F3" w:rsidRPr="007559F3" w14:paraId="542862CA" w14:textId="77777777" w:rsidTr="005B3F59">
        <w:tblPrEx>
          <w:tblCellMar>
            <w:top w:w="0" w:type="dxa"/>
            <w:left w:w="0" w:type="dxa"/>
            <w:bottom w:w="0" w:type="dxa"/>
            <w:right w:w="0" w:type="dxa"/>
          </w:tblCellMar>
        </w:tblPrEx>
        <w:trPr>
          <w:trHeight w:val="46"/>
        </w:trPr>
        <w:tc>
          <w:tcPr>
            <w:tcW w:w="55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EDA43B"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Required Evaluation Point</w:t>
            </w:r>
          </w:p>
        </w:tc>
        <w:tc>
          <w:tcPr>
            <w:tcW w:w="16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C25873"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CGPA</w:t>
            </w:r>
          </w:p>
        </w:tc>
        <w:tc>
          <w:tcPr>
            <w:tcW w:w="304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C83F12"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b/>
                <w:color w:val="000000"/>
                <w:kern w:val="0"/>
                <w14:ligatures w14:val="none"/>
              </w:rPr>
            </w:pPr>
            <w:r w:rsidRPr="007559F3">
              <w:rPr>
                <w:rFonts w:ascii="Times New Roman" w:eastAsia="Times New Roman" w:hAnsi="Times New Roman" w:cs="Times New Roman"/>
                <w:b/>
                <w:color w:val="000000"/>
                <w:kern w:val="0"/>
                <w:sz w:val="22"/>
                <w:szCs w:val="22"/>
                <w14:ligatures w14:val="none"/>
              </w:rPr>
              <w:t>Completion %</w:t>
            </w:r>
          </w:p>
        </w:tc>
      </w:tr>
      <w:tr w:rsidR="007559F3" w:rsidRPr="007559F3" w14:paraId="7539EDE5" w14:textId="77777777" w:rsidTr="005B3F59">
        <w:tblPrEx>
          <w:tblCellMar>
            <w:top w:w="0" w:type="dxa"/>
            <w:left w:w="0" w:type="dxa"/>
            <w:bottom w:w="0" w:type="dxa"/>
            <w:right w:w="0" w:type="dxa"/>
          </w:tblCellMar>
        </w:tblPrEx>
        <w:trPr>
          <w:trHeight w:val="46"/>
        </w:trPr>
        <w:tc>
          <w:tcPr>
            <w:tcW w:w="55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62C3A3"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First Semester</w:t>
            </w:r>
          </w:p>
        </w:tc>
        <w:tc>
          <w:tcPr>
            <w:tcW w:w="16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F81F67"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4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D98E6E"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50C1AE2C" w14:textId="77777777" w:rsidTr="005B3F59">
        <w:tblPrEx>
          <w:tblCellMar>
            <w:top w:w="0" w:type="dxa"/>
            <w:left w:w="0" w:type="dxa"/>
            <w:bottom w:w="0" w:type="dxa"/>
            <w:right w:w="0" w:type="dxa"/>
          </w:tblCellMar>
        </w:tblPrEx>
        <w:trPr>
          <w:trHeight w:val="46"/>
        </w:trPr>
        <w:tc>
          <w:tcPr>
            <w:tcW w:w="55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686586"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Second Semester</w:t>
            </w:r>
          </w:p>
        </w:tc>
        <w:tc>
          <w:tcPr>
            <w:tcW w:w="16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0B9EEC"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4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2DC8406"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r w:rsidR="007559F3" w:rsidRPr="007559F3" w14:paraId="7404AAFF" w14:textId="77777777" w:rsidTr="005B3F59">
        <w:tblPrEx>
          <w:tblCellMar>
            <w:top w:w="0" w:type="dxa"/>
            <w:left w:w="0" w:type="dxa"/>
            <w:bottom w:w="0" w:type="dxa"/>
            <w:right w:w="0" w:type="dxa"/>
          </w:tblCellMar>
        </w:tblPrEx>
        <w:trPr>
          <w:trHeight w:val="46"/>
        </w:trPr>
        <w:tc>
          <w:tcPr>
            <w:tcW w:w="55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43BF94"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End of Each Subsequent Semester</w:t>
            </w:r>
          </w:p>
        </w:tc>
        <w:tc>
          <w:tcPr>
            <w:tcW w:w="16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195255"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2.0</w:t>
            </w:r>
          </w:p>
        </w:tc>
        <w:tc>
          <w:tcPr>
            <w:tcW w:w="304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7837E1"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14:ligatures w14:val="none"/>
              </w:rPr>
            </w:pPr>
            <w:r w:rsidRPr="007559F3">
              <w:rPr>
                <w:rFonts w:ascii="Times New Roman" w:eastAsia="Times New Roman" w:hAnsi="Times New Roman" w:cs="Times New Roman"/>
                <w:color w:val="000000"/>
                <w:kern w:val="0"/>
                <w:sz w:val="22"/>
                <w:szCs w:val="22"/>
                <w14:ligatures w14:val="none"/>
              </w:rPr>
              <w:t>67%</w:t>
            </w:r>
          </w:p>
        </w:tc>
      </w:tr>
    </w:tbl>
    <w:p w14:paraId="7220E6EE"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i/>
          <w:iCs/>
          <w:color w:val="000000"/>
          <w:kern w:val="0"/>
          <w:sz w:val="22"/>
          <w:szCs w:val="22"/>
          <w14:ligatures w14:val="none"/>
        </w:rPr>
      </w:pPr>
    </w:p>
    <w:p w14:paraId="734820AF"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i/>
          <w:iCs/>
          <w:color w:val="000000"/>
          <w:kern w:val="0"/>
          <w:sz w:val="22"/>
          <w:szCs w:val="22"/>
          <w14:ligatures w14:val="none"/>
        </w:rPr>
      </w:pPr>
      <w:r w:rsidRPr="007559F3">
        <w:rPr>
          <w:rFonts w:ascii="Times New Roman" w:eastAsia="Times New Roman" w:hAnsi="Times New Roman" w:cs="Times New Roman"/>
          <w:i/>
          <w:iCs/>
          <w:color w:val="000000"/>
          <w:kern w:val="0"/>
          <w:sz w:val="22"/>
          <w:szCs w:val="22"/>
          <w14:ligatures w14:val="none"/>
        </w:rPr>
        <w:t>* Semesters are defined as 15 weeks for OTA, RT, PN, and PTA programs.</w:t>
      </w:r>
    </w:p>
    <w:p w14:paraId="311ACCE4"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i/>
          <w:iCs/>
          <w:color w:val="000000"/>
          <w:kern w:val="0"/>
          <w:sz w:val="22"/>
          <w:szCs w:val="22"/>
          <w14:ligatures w14:val="none"/>
        </w:rPr>
      </w:pPr>
      <w:r w:rsidRPr="007559F3">
        <w:rPr>
          <w:rFonts w:ascii="Times New Roman" w:eastAsia="Times New Roman" w:hAnsi="Times New Roman" w:cs="Times New Roman"/>
          <w:i/>
          <w:iCs/>
          <w:color w:val="000000"/>
          <w:kern w:val="0"/>
          <w:sz w:val="22"/>
          <w:szCs w:val="22"/>
          <w14:ligatures w14:val="none"/>
        </w:rPr>
        <w:t>* Semesters are defined as 16 weeks for BSRT and BSHCA program.</w:t>
      </w:r>
    </w:p>
    <w:p w14:paraId="6C330F48"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i/>
          <w:iCs/>
          <w:color w:val="000000"/>
          <w:kern w:val="0"/>
          <w:sz w:val="22"/>
          <w:szCs w:val="22"/>
          <w14:ligatures w14:val="none"/>
        </w:rPr>
      </w:pPr>
      <w:r w:rsidRPr="007559F3">
        <w:rPr>
          <w:rFonts w:ascii="Times New Roman" w:eastAsia="Times New Roman" w:hAnsi="Times New Roman" w:cs="Times New Roman"/>
          <w:i/>
          <w:iCs/>
          <w:color w:val="000000"/>
          <w:kern w:val="0"/>
          <w:sz w:val="22"/>
          <w:szCs w:val="22"/>
          <w14:ligatures w14:val="none"/>
        </w:rPr>
        <w:t>* Semesters are defined as 18 weeks for MA, MOA, PCT, PH, PMB and HCA.</w:t>
      </w:r>
    </w:p>
    <w:p w14:paraId="7DDE2FCB"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i/>
          <w:iCs/>
          <w:color w:val="000000"/>
          <w:kern w:val="0"/>
          <w:sz w:val="22"/>
          <w:szCs w:val="22"/>
          <w14:ligatures w14:val="none"/>
        </w:rPr>
        <w:t>*Additional CGPA standards may be implemented for specific programs as detailed later in this policy.</w:t>
      </w:r>
    </w:p>
    <w:p w14:paraId="4FDC7BA7"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sz w:val="22"/>
          <w:szCs w:val="22"/>
          <w14:ligatures w14:val="none"/>
        </w:rPr>
      </w:pPr>
    </w:p>
    <w:p w14:paraId="588087B7"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Maximum Time Frame (MTF)</w:t>
      </w:r>
    </w:p>
    <w:p w14:paraId="55E34D59"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In addition to meeting the criteria listed </w:t>
      </w:r>
      <w:proofErr w:type="gramStart"/>
      <w:r w:rsidRPr="007559F3">
        <w:rPr>
          <w:rFonts w:ascii="Times New Roman" w:eastAsia="Times New Roman" w:hAnsi="Times New Roman" w:cs="Times New Roman"/>
          <w:color w:val="000000"/>
          <w:kern w:val="0"/>
          <w:sz w:val="22"/>
          <w:szCs w:val="22"/>
          <w14:ligatures w14:val="none"/>
        </w:rPr>
        <w:t>above,</w:t>
      </w:r>
      <w:proofErr w:type="gramEnd"/>
      <w:r w:rsidRPr="007559F3">
        <w:rPr>
          <w:rFonts w:ascii="Times New Roman" w:eastAsia="Times New Roman" w:hAnsi="Times New Roman" w:cs="Times New Roman"/>
          <w:color w:val="000000"/>
          <w:kern w:val="0"/>
          <w:sz w:val="22"/>
          <w:szCs w:val="22"/>
          <w14:ligatures w14:val="none"/>
        </w:rPr>
        <w:t xml:space="preserve"> to make Satisfactory Academic Progress, students must complete the total credit hours of their program within 150% of the normal program length. If a student is projected to be unable to complete the program within 150% of the normal duration, the student will be dismissed.</w:t>
      </w:r>
    </w:p>
    <w:p w14:paraId="0C1B2F52"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p>
    <w:p w14:paraId="09F3040E" w14:textId="77777777" w:rsidR="007559F3" w:rsidRPr="007559F3" w:rsidRDefault="007559F3" w:rsidP="007559F3">
      <w:pPr>
        <w:autoSpaceDE w:val="0"/>
        <w:autoSpaceDN w:val="0"/>
        <w:adjustRightInd w:val="0"/>
        <w:spacing w:after="0" w:line="288" w:lineRule="auto"/>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Course Retakes</w:t>
      </w:r>
    </w:p>
    <w:p w14:paraId="4AEF4774" w14:textId="77777777" w:rsidR="007559F3" w:rsidRPr="007559F3" w:rsidRDefault="007559F3" w:rsidP="007559F3">
      <w:pPr>
        <w:autoSpaceDE w:val="0"/>
        <w:autoSpaceDN w:val="0"/>
        <w:adjustRightInd w:val="0"/>
        <w:spacing w:after="0" w:line="288" w:lineRule="auto"/>
        <w:textAlignment w:val="center"/>
        <w:rPr>
          <w:rFonts w:ascii="Minion Pro" w:eastAsia="Times New Roman" w:hAnsi="Minion Pro" w:cs="Minion Pro"/>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Students may repeat classes to improve their CGPA. Students may repeat the same course one time. Two failed attempts of the same course will result in dismissal from the program. </w:t>
      </w:r>
    </w:p>
    <w:p w14:paraId="58951A16"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i/>
          <w:iCs/>
          <w:color w:val="000000"/>
          <w:kern w:val="0"/>
          <w:sz w:val="22"/>
          <w:szCs w:val="22"/>
          <w14:ligatures w14:val="none"/>
        </w:rPr>
      </w:pPr>
    </w:p>
    <w:p w14:paraId="6B169BE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i/>
          <w:iCs/>
          <w:color w:val="000000"/>
          <w:kern w:val="0"/>
          <w:sz w:val="22"/>
          <w:szCs w:val="22"/>
          <w14:ligatures w14:val="none"/>
        </w:rPr>
      </w:pPr>
      <w:r w:rsidRPr="007559F3">
        <w:rPr>
          <w:rFonts w:ascii="Times New Roman" w:eastAsia="Times New Roman" w:hAnsi="Times New Roman" w:cs="Times New Roman"/>
          <w:i/>
          <w:iCs/>
          <w:color w:val="000000"/>
          <w:kern w:val="0"/>
          <w:sz w:val="22"/>
          <w:szCs w:val="22"/>
          <w14:ligatures w14:val="none"/>
        </w:rPr>
        <w:lastRenderedPageBreak/>
        <w:t>*Additional course retake standards may be implemented for specific programs as detailed later in this policy.</w:t>
      </w:r>
    </w:p>
    <w:p w14:paraId="5D66D111"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i/>
          <w:iCs/>
          <w:color w:val="000000"/>
          <w:kern w:val="0"/>
          <w:sz w:val="22"/>
          <w:szCs w:val="22"/>
          <w14:ligatures w14:val="none"/>
        </w:rPr>
      </w:pPr>
    </w:p>
    <w:p w14:paraId="4C6F5A3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 xml:space="preserve">Consequences </w:t>
      </w:r>
      <w:proofErr w:type="gramStart"/>
      <w:r w:rsidRPr="007559F3">
        <w:rPr>
          <w:rFonts w:ascii="Times New Roman" w:eastAsia="Times New Roman" w:hAnsi="Times New Roman" w:cs="Times New Roman"/>
          <w:b/>
          <w:bCs/>
          <w:color w:val="000000"/>
          <w:kern w:val="0"/>
          <w:sz w:val="22"/>
          <w:szCs w:val="22"/>
          <w14:ligatures w14:val="none"/>
        </w:rPr>
        <w:t>for</w:t>
      </w:r>
      <w:proofErr w:type="gramEnd"/>
      <w:r w:rsidRPr="007559F3">
        <w:rPr>
          <w:rFonts w:ascii="Times New Roman" w:eastAsia="Times New Roman" w:hAnsi="Times New Roman" w:cs="Times New Roman"/>
          <w:b/>
          <w:bCs/>
          <w:color w:val="000000"/>
          <w:kern w:val="0"/>
          <w:sz w:val="22"/>
          <w:szCs w:val="22"/>
          <w14:ligatures w14:val="none"/>
        </w:rPr>
        <w:t xml:space="preserve"> Not Meeting SAP</w:t>
      </w:r>
    </w:p>
    <w:p w14:paraId="66E485B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Academic Warning</w:t>
      </w:r>
    </w:p>
    <w:p w14:paraId="67EA6484"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Academic Warning occurs when a student is not meeting the minimum SAP standards at one of the SAP evaluation points. When students are placed on Academic </w:t>
      </w:r>
      <w:proofErr w:type="gramStart"/>
      <w:r w:rsidRPr="007559F3">
        <w:rPr>
          <w:rFonts w:ascii="Times New Roman" w:eastAsia="Times New Roman" w:hAnsi="Times New Roman" w:cs="Times New Roman"/>
          <w:color w:val="000000"/>
          <w:kern w:val="0"/>
          <w:sz w:val="22"/>
          <w:szCs w:val="22"/>
          <w14:ligatures w14:val="none"/>
        </w:rPr>
        <w:t>Warning</w:t>
      </w:r>
      <w:proofErr w:type="gramEnd"/>
      <w:r w:rsidRPr="007559F3">
        <w:rPr>
          <w:rFonts w:ascii="Times New Roman" w:eastAsia="Times New Roman" w:hAnsi="Times New Roman" w:cs="Times New Roman"/>
          <w:color w:val="000000"/>
          <w:kern w:val="0"/>
          <w:sz w:val="22"/>
          <w:szCs w:val="22"/>
          <w14:ligatures w14:val="none"/>
        </w:rPr>
        <w:t xml:space="preserve"> they must meet with the Program Director and/or the Dean/Director of Education to evaluate the student’s ability and desire to achieve Satisfactory Academic Progress.</w:t>
      </w:r>
    </w:p>
    <w:p w14:paraId="261F0E2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106E7464"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Warning Advising Plan</w:t>
      </w:r>
    </w:p>
    <w:p w14:paraId="7873D6B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Students placed on Academic Warning will be advised by the Program Director and/or the Dean/Director of Education and will be required to follow the terms and conditions of a Warning Advising Plan. The Warning Advising Plan is designed to assist the student in reaching the SAP standards at a subsequent evaluation point.</w:t>
      </w:r>
    </w:p>
    <w:p w14:paraId="0F01727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4591116D"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Removal from Warning</w:t>
      </w:r>
    </w:p>
    <w:p w14:paraId="69566666"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Students may be removed from Academic Warning when they meet or exceed the SAP standards at an evaluation point or are meeting the measurements of the Warning Advising Plan. Students may be removed from Academic Warning when they are no longer in jeopardy of falling below the SAP standards at the next evaluation point. Students may remain on a Warning Advising Plan beyond a subsequent evaluation point if they are meeting all the requirements of the Warning Advising Plan and is trending positively towards meeting SAP standards upon approval from the Director of Education and/or President.</w:t>
      </w:r>
    </w:p>
    <w:p w14:paraId="32A3552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3F06D44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Financial Eligibility</w:t>
      </w:r>
    </w:p>
    <w:p w14:paraId="040A34C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Students may lose eligibility for Title IV funds if not maintaining standards of Satisfactory Academic Progress.</w:t>
      </w:r>
    </w:p>
    <w:p w14:paraId="1696BA37"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2F728B4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Academic Dismissal and Appeal</w:t>
      </w:r>
    </w:p>
    <w:p w14:paraId="5854E3B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Students on Academic </w:t>
      </w:r>
      <w:proofErr w:type="gramStart"/>
      <w:r w:rsidRPr="007559F3">
        <w:rPr>
          <w:rFonts w:ascii="Times New Roman" w:eastAsia="Times New Roman" w:hAnsi="Times New Roman" w:cs="Times New Roman"/>
          <w:color w:val="000000"/>
          <w:kern w:val="0"/>
          <w:sz w:val="22"/>
          <w:szCs w:val="22"/>
          <w14:ligatures w14:val="none"/>
        </w:rPr>
        <w:t>Warning who</w:t>
      </w:r>
      <w:proofErr w:type="gramEnd"/>
      <w:r w:rsidRPr="007559F3">
        <w:rPr>
          <w:rFonts w:ascii="Times New Roman" w:eastAsia="Times New Roman" w:hAnsi="Times New Roman" w:cs="Times New Roman"/>
          <w:color w:val="000000"/>
          <w:kern w:val="0"/>
          <w:sz w:val="22"/>
          <w:szCs w:val="22"/>
          <w14:ligatures w14:val="none"/>
        </w:rPr>
        <w:t xml:space="preserve"> fail to meet the terms of the Warning Advising Plan will be dismissed from the school. Students who are projected to be unable to complete the program within the Maximum Time Frame will also be dismissed from the school at the time when the determination is made. Academic dismissal may occur with multiple </w:t>
      </w:r>
      <w:proofErr w:type="gramStart"/>
      <w:r w:rsidRPr="007559F3">
        <w:rPr>
          <w:rFonts w:ascii="Times New Roman" w:eastAsia="Times New Roman" w:hAnsi="Times New Roman" w:cs="Times New Roman"/>
          <w:color w:val="000000"/>
          <w:kern w:val="0"/>
          <w:sz w:val="22"/>
          <w:szCs w:val="22"/>
          <w14:ligatures w14:val="none"/>
        </w:rPr>
        <w:t>course</w:t>
      </w:r>
      <w:proofErr w:type="gramEnd"/>
      <w:r w:rsidRPr="007559F3">
        <w:rPr>
          <w:rFonts w:ascii="Times New Roman" w:eastAsia="Times New Roman" w:hAnsi="Times New Roman" w:cs="Times New Roman"/>
          <w:color w:val="000000"/>
          <w:kern w:val="0"/>
          <w:sz w:val="22"/>
          <w:szCs w:val="22"/>
          <w14:ligatures w14:val="none"/>
        </w:rPr>
        <w:t xml:space="preserve"> </w:t>
      </w:r>
      <w:proofErr w:type="gramStart"/>
      <w:r w:rsidRPr="007559F3">
        <w:rPr>
          <w:rFonts w:ascii="Times New Roman" w:eastAsia="Times New Roman" w:hAnsi="Times New Roman" w:cs="Times New Roman"/>
          <w:color w:val="000000"/>
          <w:kern w:val="0"/>
          <w:sz w:val="22"/>
          <w:szCs w:val="22"/>
          <w14:ligatures w14:val="none"/>
        </w:rPr>
        <w:t>fails</w:t>
      </w:r>
      <w:proofErr w:type="gramEnd"/>
      <w:r w:rsidRPr="007559F3">
        <w:rPr>
          <w:rFonts w:ascii="Times New Roman" w:eastAsia="Times New Roman" w:hAnsi="Times New Roman" w:cs="Times New Roman"/>
          <w:color w:val="000000"/>
          <w:kern w:val="0"/>
          <w:sz w:val="22"/>
          <w:szCs w:val="22"/>
          <w14:ligatures w14:val="none"/>
        </w:rPr>
        <w:t xml:space="preserve"> within a semester in some programs. Refer to Additional Standards of Satisfactory Academic Progress for specific program requirements. Students may appeal the decision of an academic dismissal.</w:t>
      </w:r>
    </w:p>
    <w:p w14:paraId="4BB1295E"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p>
    <w:p w14:paraId="668CC9F9"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Appeal Process</w:t>
      </w:r>
    </w:p>
    <w:p w14:paraId="422D3298"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For an appeal to be considered, it must:</w:t>
      </w:r>
    </w:p>
    <w:p w14:paraId="5AFAC297"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color w:val="000000"/>
          <w:kern w:val="0"/>
          <w:sz w:val="22"/>
          <w:szCs w:val="22"/>
          <w:u w:color="000000"/>
          <w14:ligatures w14:val="none"/>
        </w:rPr>
        <w:t>• Be submitted to the Dean/Director of Education or Campus President in writing;</w:t>
      </w:r>
    </w:p>
    <w:p w14:paraId="6107FEBC"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color w:val="000000"/>
          <w:kern w:val="0"/>
          <w:sz w:val="22"/>
          <w:szCs w:val="22"/>
          <w:u w:color="000000"/>
          <w14:ligatures w14:val="none"/>
        </w:rPr>
        <w:t>• Explain the reasons why the student was not successful in meeting the SAP standards; and</w:t>
      </w:r>
    </w:p>
    <w:p w14:paraId="0AC45103"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color w:val="000000"/>
          <w:kern w:val="0"/>
          <w:sz w:val="22"/>
          <w:szCs w:val="22"/>
          <w:u w:color="000000"/>
          <w14:ligatures w14:val="none"/>
        </w:rPr>
        <w:t>• Explain what has changed in the student’s circumstances to allow success in the future. Documentation of the mitigating circumstances may be requested by the school.</w:t>
      </w:r>
    </w:p>
    <w:p w14:paraId="286483FB"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lastRenderedPageBreak/>
        <w:t>*</w:t>
      </w:r>
      <w:r w:rsidRPr="007559F3">
        <w:rPr>
          <w:rFonts w:ascii="Times New Roman" w:eastAsia="Times New Roman" w:hAnsi="Times New Roman" w:cs="Times New Roman"/>
          <w:i/>
          <w:iCs/>
          <w:color w:val="000000"/>
          <w:kern w:val="0"/>
          <w:sz w:val="22"/>
          <w:szCs w:val="22"/>
          <w:u w:color="000000"/>
          <w14:ligatures w14:val="none"/>
        </w:rPr>
        <w:t>All appeal letters will be reviewed by the Appeals Committee and responded to within ten (10) days. If an appeal for exceeding the Maximum Time Frame is approved the student will not be eligible for Federal Student Aid for the remainder of that program.</w:t>
      </w:r>
    </w:p>
    <w:p w14:paraId="33280E40"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p>
    <w:p w14:paraId="22B76D77"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p>
    <w:p w14:paraId="71EF3B41"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p>
    <w:p w14:paraId="01C12254"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Definitions</w:t>
      </w:r>
    </w:p>
    <w:p w14:paraId="694EB1C7"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CGPA-</w:t>
      </w:r>
      <w:r w:rsidRPr="007559F3">
        <w:rPr>
          <w:rFonts w:ascii="Times New Roman" w:eastAsia="Times New Roman" w:hAnsi="Times New Roman" w:cs="Times New Roman"/>
          <w:color w:val="000000"/>
          <w:kern w:val="0"/>
          <w:sz w:val="22"/>
          <w:szCs w:val="22"/>
          <w:u w:color="000000"/>
          <w14:ligatures w14:val="none"/>
        </w:rPr>
        <w:t xml:space="preserve"> Cumulative Grade Point Average is the average of all grades for the student in the current program of enrollment. It is calculated by adding up the corresponding </w:t>
      </w:r>
      <w:proofErr w:type="gramStart"/>
      <w:r w:rsidRPr="007559F3">
        <w:rPr>
          <w:rFonts w:ascii="Times New Roman" w:eastAsia="Times New Roman" w:hAnsi="Times New Roman" w:cs="Times New Roman"/>
          <w:color w:val="000000"/>
          <w:kern w:val="0"/>
          <w:sz w:val="22"/>
          <w:szCs w:val="22"/>
          <w:u w:color="000000"/>
          <w14:ligatures w14:val="none"/>
        </w:rPr>
        <w:t>earned quality points</w:t>
      </w:r>
      <w:proofErr w:type="gramEnd"/>
      <w:r w:rsidRPr="007559F3">
        <w:rPr>
          <w:rFonts w:ascii="Times New Roman" w:eastAsia="Times New Roman" w:hAnsi="Times New Roman" w:cs="Times New Roman"/>
          <w:color w:val="000000"/>
          <w:kern w:val="0"/>
          <w:sz w:val="22"/>
          <w:szCs w:val="22"/>
          <w:u w:color="000000"/>
          <w14:ligatures w14:val="none"/>
        </w:rPr>
        <w:t xml:space="preserve"> for each class and dividing the sum by the total number of </w:t>
      </w:r>
      <w:proofErr w:type="gramStart"/>
      <w:r w:rsidRPr="007559F3">
        <w:rPr>
          <w:rFonts w:ascii="Times New Roman" w:eastAsia="Times New Roman" w:hAnsi="Times New Roman" w:cs="Times New Roman"/>
          <w:color w:val="000000"/>
          <w:kern w:val="0"/>
          <w:sz w:val="22"/>
          <w:szCs w:val="22"/>
          <w:u w:color="000000"/>
          <w14:ligatures w14:val="none"/>
        </w:rPr>
        <w:t>earned credit hours</w:t>
      </w:r>
      <w:proofErr w:type="gramEnd"/>
      <w:r w:rsidRPr="007559F3">
        <w:rPr>
          <w:rFonts w:ascii="Times New Roman" w:eastAsia="Times New Roman" w:hAnsi="Times New Roman" w:cs="Times New Roman"/>
          <w:color w:val="000000"/>
          <w:kern w:val="0"/>
          <w:sz w:val="22"/>
          <w:szCs w:val="22"/>
          <w:u w:color="000000"/>
          <w14:ligatures w14:val="none"/>
        </w:rPr>
        <w:t>.</w:t>
      </w:r>
    </w:p>
    <w:p w14:paraId="0B070128"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 xml:space="preserve">CP- </w:t>
      </w:r>
      <w:r w:rsidRPr="007559F3">
        <w:rPr>
          <w:rFonts w:ascii="Times New Roman" w:eastAsia="Times New Roman" w:hAnsi="Times New Roman" w:cs="Times New Roman"/>
          <w:color w:val="000000"/>
          <w:kern w:val="0"/>
          <w:sz w:val="22"/>
          <w:szCs w:val="22"/>
          <w:u w:color="000000"/>
          <w14:ligatures w14:val="none"/>
        </w:rPr>
        <w:t>Completion Percentage is the number of credit hours or clock hours and weeks completed divided by the number of credit hours or clock hours and weeks attempted in the program.</w:t>
      </w:r>
    </w:p>
    <w:p w14:paraId="26C40831"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MTF-</w:t>
      </w:r>
      <w:r w:rsidRPr="007559F3">
        <w:rPr>
          <w:rFonts w:ascii="Times New Roman" w:eastAsia="Times New Roman" w:hAnsi="Times New Roman" w:cs="Times New Roman"/>
          <w:color w:val="000000"/>
          <w:kern w:val="0"/>
          <w:sz w:val="22"/>
          <w:szCs w:val="22"/>
          <w:u w:color="000000"/>
          <w14:ligatures w14:val="none"/>
        </w:rPr>
        <w:t xml:space="preserve"> Maximum Time Frame is one and one-half times the normal program length, in which the educational objective must be successfully completed Students are required to successfully complete their program within the Maximum Time Frame.</w:t>
      </w:r>
    </w:p>
    <w:p w14:paraId="497AFD2B"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R</w:t>
      </w:r>
      <w:r w:rsidRPr="007559F3">
        <w:rPr>
          <w:rFonts w:ascii="Times New Roman" w:eastAsia="Times New Roman" w:hAnsi="Times New Roman" w:cs="Times New Roman"/>
          <w:color w:val="000000"/>
          <w:kern w:val="0"/>
          <w:sz w:val="22"/>
          <w:szCs w:val="22"/>
          <w:u w:color="000000"/>
          <w14:ligatures w14:val="none"/>
        </w:rPr>
        <w:t>- Repeat is assigned once a failed (F) course is successfully repeated and a passing grade is posted.</w:t>
      </w:r>
    </w:p>
    <w:p w14:paraId="0E4F2B66"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br/>
        <w:t>A clock hour represents a minimum of 50 minutes of instruction. One credit hour is awarded for:</w:t>
      </w:r>
    </w:p>
    <w:p w14:paraId="0E409431"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ab/>
        <w:t>Every 15 clock hours of lecture</w:t>
      </w:r>
    </w:p>
    <w:p w14:paraId="5E81CEC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ab/>
        <w:t>Every 30 clock hours of laboratory</w:t>
      </w:r>
    </w:p>
    <w:p w14:paraId="34E5895F"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ab/>
        <w:t>Every 45 clock hours of externship/clinical</w:t>
      </w:r>
    </w:p>
    <w:p w14:paraId="64D3D16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p>
    <w:p w14:paraId="2D148E9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Students at </w:t>
      </w:r>
      <w:proofErr w:type="spellStart"/>
      <w:r w:rsidRPr="007559F3">
        <w:rPr>
          <w:rFonts w:ascii="Times New Roman" w:eastAsia="Times New Roman" w:hAnsi="Times New Roman" w:cs="Times New Roman"/>
          <w:color w:val="000000"/>
          <w:kern w:val="0"/>
          <w:sz w:val="22"/>
          <w:szCs w:val="22"/>
          <w14:ligatures w14:val="none"/>
        </w:rPr>
        <w:t>Stepful</w:t>
      </w:r>
      <w:proofErr w:type="spellEnd"/>
      <w:r w:rsidRPr="007559F3">
        <w:rPr>
          <w:rFonts w:ascii="Times New Roman" w:eastAsia="Times New Roman" w:hAnsi="Times New Roman" w:cs="Times New Roman"/>
          <w:color w:val="000000"/>
          <w:kern w:val="0"/>
          <w:sz w:val="22"/>
          <w:szCs w:val="22"/>
          <w14:ligatures w14:val="none"/>
        </w:rPr>
        <w:t xml:space="preserve"> College will meet course objectives with both in-class and </w:t>
      </w:r>
      <w:proofErr w:type="gramStart"/>
      <w:r w:rsidRPr="007559F3">
        <w:rPr>
          <w:rFonts w:ascii="Times New Roman" w:eastAsia="Times New Roman" w:hAnsi="Times New Roman" w:cs="Times New Roman"/>
          <w:color w:val="000000"/>
          <w:kern w:val="0"/>
          <w:sz w:val="22"/>
          <w:szCs w:val="22"/>
          <w14:ligatures w14:val="none"/>
        </w:rPr>
        <w:t>outside of class</w:t>
      </w:r>
      <w:proofErr w:type="gramEnd"/>
      <w:r w:rsidRPr="007559F3">
        <w:rPr>
          <w:rFonts w:ascii="Times New Roman" w:eastAsia="Times New Roman" w:hAnsi="Times New Roman" w:cs="Times New Roman"/>
          <w:color w:val="000000"/>
          <w:kern w:val="0"/>
          <w:sz w:val="22"/>
          <w:szCs w:val="22"/>
          <w14:ligatures w14:val="none"/>
        </w:rPr>
        <w:t xml:space="preserve"> coursework. Outside coursework may </w:t>
      </w:r>
      <w:proofErr w:type="gramStart"/>
      <w:r w:rsidRPr="007559F3">
        <w:rPr>
          <w:rFonts w:ascii="Times New Roman" w:eastAsia="Times New Roman" w:hAnsi="Times New Roman" w:cs="Times New Roman"/>
          <w:color w:val="000000"/>
          <w:kern w:val="0"/>
          <w:sz w:val="22"/>
          <w:szCs w:val="22"/>
          <w14:ligatures w14:val="none"/>
        </w:rPr>
        <w:t>include:</w:t>
      </w:r>
      <w:proofErr w:type="gramEnd"/>
      <w:r w:rsidRPr="007559F3">
        <w:rPr>
          <w:rFonts w:ascii="Times New Roman" w:eastAsia="Times New Roman" w:hAnsi="Times New Roman" w:cs="Times New Roman"/>
          <w:color w:val="000000"/>
          <w:kern w:val="0"/>
          <w:sz w:val="22"/>
          <w:szCs w:val="22"/>
          <w14:ligatures w14:val="none"/>
        </w:rPr>
        <w:t xml:space="preserve"> assigned readings as well as completing papers, portfolios, projects, and assignments. These assignments are outlined in the respective course syllabi.</w:t>
      </w:r>
    </w:p>
    <w:p w14:paraId="08AE351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p>
    <w:p w14:paraId="1E372964"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r w:rsidRPr="007559F3">
        <w:rPr>
          <w:rFonts w:ascii="Times New Roman" w:eastAsia="Times New Roman" w:hAnsi="Times New Roman" w:cs="Times New Roman"/>
          <w:b/>
          <w:bCs/>
          <w:color w:val="000000"/>
          <w:kern w:val="0"/>
          <w:sz w:val="22"/>
          <w:szCs w:val="22"/>
          <w:u w:color="000000"/>
          <w14:ligatures w14:val="none"/>
        </w:rPr>
        <w:t>Grading Scale and the Effect of Grades on SAP</w:t>
      </w:r>
    </w:p>
    <w:p w14:paraId="453BB519"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u w:color="000000"/>
          <w14:ligatures w14:val="none"/>
        </w:rPr>
      </w:pPr>
      <w:r w:rsidRPr="007559F3">
        <w:rPr>
          <w:rFonts w:ascii="Times New Roman" w:eastAsia="Times New Roman" w:hAnsi="Times New Roman" w:cs="Times New Roman"/>
          <w:color w:val="000000"/>
          <w:kern w:val="0"/>
          <w:sz w:val="22"/>
          <w:szCs w:val="22"/>
          <w:u w:color="000000"/>
          <w14:ligatures w14:val="none"/>
        </w:rPr>
        <w:t>Grades that carry quality points are calculated in a student’s Cumulative Grade Point Average (CGPA). Grades that are included in credits attempted and/or credits earned are calculated in a student’s Completion Percentage (CP).</w:t>
      </w:r>
    </w:p>
    <w:p w14:paraId="1E9F5CC5" w14:textId="77777777" w:rsidR="007559F3" w:rsidRPr="007559F3" w:rsidRDefault="007559F3" w:rsidP="007559F3">
      <w:pPr>
        <w:tabs>
          <w:tab w:val="left" w:pos="-1440"/>
          <w:tab w:val="left" w:pos="3330"/>
          <w:tab w:val="center" w:pos="4410"/>
        </w:tabs>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2128"/>
        <w:gridCol w:w="1702"/>
        <w:gridCol w:w="1916"/>
      </w:tblGrid>
      <w:tr w:rsidR="007559F3" w:rsidRPr="007559F3" w14:paraId="2F23162A" w14:textId="77777777" w:rsidTr="005B3F59">
        <w:tc>
          <w:tcPr>
            <w:tcW w:w="1915" w:type="dxa"/>
          </w:tcPr>
          <w:p w14:paraId="62B6BF7D"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
                <w:bCs/>
                <w:kern w:val="0"/>
                <w:sz w:val="22"/>
                <w:szCs w:val="22"/>
                <w14:ligatures w14:val="none"/>
              </w:rPr>
            </w:pPr>
            <w:r w:rsidRPr="007559F3">
              <w:rPr>
                <w:rFonts w:ascii="Times New Roman" w:eastAsia="Calibri" w:hAnsi="Times New Roman" w:cs="Times New Roman"/>
                <w:b/>
                <w:bCs/>
                <w:kern w:val="0"/>
                <w:sz w:val="22"/>
                <w:szCs w:val="22"/>
                <w14:ligatures w14:val="none"/>
              </w:rPr>
              <w:t>Letter Grade</w:t>
            </w:r>
          </w:p>
        </w:tc>
        <w:tc>
          <w:tcPr>
            <w:tcW w:w="1915" w:type="dxa"/>
          </w:tcPr>
          <w:p w14:paraId="17DD1B0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
                <w:bCs/>
                <w:kern w:val="0"/>
                <w:sz w:val="22"/>
                <w:szCs w:val="22"/>
                <w14:ligatures w14:val="none"/>
              </w:rPr>
            </w:pPr>
            <w:r w:rsidRPr="007559F3">
              <w:rPr>
                <w:rFonts w:ascii="Times New Roman" w:eastAsia="Calibri" w:hAnsi="Times New Roman" w:cs="Times New Roman"/>
                <w:b/>
                <w:bCs/>
                <w:kern w:val="0"/>
                <w:sz w:val="22"/>
                <w:szCs w:val="22"/>
                <w14:ligatures w14:val="none"/>
              </w:rPr>
              <w:t>Quality Points</w:t>
            </w:r>
          </w:p>
        </w:tc>
        <w:tc>
          <w:tcPr>
            <w:tcW w:w="2128" w:type="dxa"/>
          </w:tcPr>
          <w:p w14:paraId="186244EB"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
                <w:bCs/>
                <w:kern w:val="0"/>
                <w:sz w:val="22"/>
                <w:szCs w:val="22"/>
                <w14:ligatures w14:val="none"/>
              </w:rPr>
            </w:pPr>
            <w:r w:rsidRPr="007559F3">
              <w:rPr>
                <w:rFonts w:ascii="Times New Roman" w:eastAsia="Calibri" w:hAnsi="Times New Roman" w:cs="Times New Roman"/>
                <w:b/>
                <w:bCs/>
                <w:kern w:val="0"/>
                <w:sz w:val="22"/>
                <w:szCs w:val="22"/>
                <w14:ligatures w14:val="none"/>
              </w:rPr>
              <w:t>Definition</w:t>
            </w:r>
          </w:p>
        </w:tc>
        <w:tc>
          <w:tcPr>
            <w:tcW w:w="1702" w:type="dxa"/>
          </w:tcPr>
          <w:p w14:paraId="0CFAA46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
                <w:bCs/>
                <w:kern w:val="0"/>
                <w:sz w:val="22"/>
                <w:szCs w:val="22"/>
                <w14:ligatures w14:val="none"/>
              </w:rPr>
            </w:pPr>
            <w:r w:rsidRPr="007559F3">
              <w:rPr>
                <w:rFonts w:ascii="Times New Roman" w:eastAsia="Calibri" w:hAnsi="Times New Roman" w:cs="Times New Roman"/>
                <w:b/>
                <w:bCs/>
                <w:kern w:val="0"/>
                <w:sz w:val="22"/>
                <w:szCs w:val="22"/>
                <w14:ligatures w14:val="none"/>
              </w:rPr>
              <w:t>Credits Earned</w:t>
            </w:r>
          </w:p>
        </w:tc>
        <w:tc>
          <w:tcPr>
            <w:tcW w:w="1916" w:type="dxa"/>
          </w:tcPr>
          <w:p w14:paraId="068172F0"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
                <w:bCs/>
                <w:kern w:val="0"/>
                <w:sz w:val="22"/>
                <w:szCs w:val="22"/>
                <w14:ligatures w14:val="none"/>
              </w:rPr>
            </w:pPr>
            <w:r w:rsidRPr="007559F3">
              <w:rPr>
                <w:rFonts w:ascii="Times New Roman" w:eastAsia="Calibri" w:hAnsi="Times New Roman" w:cs="Times New Roman"/>
                <w:b/>
                <w:bCs/>
                <w:kern w:val="0"/>
                <w:sz w:val="22"/>
                <w:szCs w:val="22"/>
                <w14:ligatures w14:val="none"/>
              </w:rPr>
              <w:t>Credits Attempted</w:t>
            </w:r>
          </w:p>
        </w:tc>
      </w:tr>
      <w:tr w:rsidR="007559F3" w:rsidRPr="007559F3" w14:paraId="1C478024" w14:textId="77777777" w:rsidTr="005B3F59">
        <w:tc>
          <w:tcPr>
            <w:tcW w:w="1915" w:type="dxa"/>
          </w:tcPr>
          <w:p w14:paraId="70160CD7"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A</w:t>
            </w:r>
          </w:p>
        </w:tc>
        <w:tc>
          <w:tcPr>
            <w:tcW w:w="1915" w:type="dxa"/>
          </w:tcPr>
          <w:p w14:paraId="18F78E2B"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4.00</w:t>
            </w:r>
          </w:p>
        </w:tc>
        <w:tc>
          <w:tcPr>
            <w:tcW w:w="2128" w:type="dxa"/>
          </w:tcPr>
          <w:p w14:paraId="6C15B70C"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93-100%</w:t>
            </w:r>
          </w:p>
        </w:tc>
        <w:tc>
          <w:tcPr>
            <w:tcW w:w="1702" w:type="dxa"/>
          </w:tcPr>
          <w:p w14:paraId="181C46BD"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0FD29269"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39476636" w14:textId="77777777" w:rsidTr="005B3F59">
        <w:tc>
          <w:tcPr>
            <w:tcW w:w="1915" w:type="dxa"/>
          </w:tcPr>
          <w:p w14:paraId="7E0BAF2E"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A-</w:t>
            </w:r>
          </w:p>
        </w:tc>
        <w:tc>
          <w:tcPr>
            <w:tcW w:w="1915" w:type="dxa"/>
          </w:tcPr>
          <w:p w14:paraId="214C6A34"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3.75</w:t>
            </w:r>
          </w:p>
        </w:tc>
        <w:tc>
          <w:tcPr>
            <w:tcW w:w="2128" w:type="dxa"/>
          </w:tcPr>
          <w:p w14:paraId="0B93155A"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90-92%</w:t>
            </w:r>
          </w:p>
        </w:tc>
        <w:tc>
          <w:tcPr>
            <w:tcW w:w="1702" w:type="dxa"/>
          </w:tcPr>
          <w:p w14:paraId="24A6C39C"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2CAB0E11"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4C82D3FF" w14:textId="77777777" w:rsidTr="005B3F59">
        <w:tc>
          <w:tcPr>
            <w:tcW w:w="1915" w:type="dxa"/>
          </w:tcPr>
          <w:p w14:paraId="0328FCC3"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B+</w:t>
            </w:r>
          </w:p>
        </w:tc>
        <w:tc>
          <w:tcPr>
            <w:tcW w:w="1915" w:type="dxa"/>
          </w:tcPr>
          <w:p w14:paraId="567581D5"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3.50</w:t>
            </w:r>
          </w:p>
        </w:tc>
        <w:tc>
          <w:tcPr>
            <w:tcW w:w="2128" w:type="dxa"/>
          </w:tcPr>
          <w:p w14:paraId="75029CAC"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87-89%</w:t>
            </w:r>
          </w:p>
        </w:tc>
        <w:tc>
          <w:tcPr>
            <w:tcW w:w="1702" w:type="dxa"/>
          </w:tcPr>
          <w:p w14:paraId="00417098"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69891F4E"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6CC11DBB" w14:textId="77777777" w:rsidTr="005B3F59">
        <w:tc>
          <w:tcPr>
            <w:tcW w:w="1915" w:type="dxa"/>
          </w:tcPr>
          <w:p w14:paraId="520BABA3"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B</w:t>
            </w:r>
          </w:p>
        </w:tc>
        <w:tc>
          <w:tcPr>
            <w:tcW w:w="1915" w:type="dxa"/>
          </w:tcPr>
          <w:p w14:paraId="24C4696D"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3.00</w:t>
            </w:r>
          </w:p>
        </w:tc>
        <w:tc>
          <w:tcPr>
            <w:tcW w:w="2128" w:type="dxa"/>
          </w:tcPr>
          <w:p w14:paraId="1E0D52F1"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84-86%</w:t>
            </w:r>
          </w:p>
        </w:tc>
        <w:tc>
          <w:tcPr>
            <w:tcW w:w="1702" w:type="dxa"/>
          </w:tcPr>
          <w:p w14:paraId="0033A0F3"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57B242FF"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2FBA1B43" w14:textId="77777777" w:rsidTr="005B3F59">
        <w:tc>
          <w:tcPr>
            <w:tcW w:w="1915" w:type="dxa"/>
          </w:tcPr>
          <w:p w14:paraId="479E8924"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B-</w:t>
            </w:r>
          </w:p>
        </w:tc>
        <w:tc>
          <w:tcPr>
            <w:tcW w:w="1915" w:type="dxa"/>
          </w:tcPr>
          <w:p w14:paraId="28000DCF"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2.75</w:t>
            </w:r>
          </w:p>
        </w:tc>
        <w:tc>
          <w:tcPr>
            <w:tcW w:w="2128" w:type="dxa"/>
          </w:tcPr>
          <w:p w14:paraId="251E8EF9"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80-83%</w:t>
            </w:r>
          </w:p>
        </w:tc>
        <w:tc>
          <w:tcPr>
            <w:tcW w:w="1702" w:type="dxa"/>
          </w:tcPr>
          <w:p w14:paraId="205FB8F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134741F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4F61BBFB" w14:textId="77777777" w:rsidTr="005B3F59">
        <w:tc>
          <w:tcPr>
            <w:tcW w:w="1915" w:type="dxa"/>
          </w:tcPr>
          <w:p w14:paraId="11B4A937"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C+</w:t>
            </w:r>
          </w:p>
        </w:tc>
        <w:tc>
          <w:tcPr>
            <w:tcW w:w="1915" w:type="dxa"/>
          </w:tcPr>
          <w:p w14:paraId="5ACC6E95"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2.50</w:t>
            </w:r>
          </w:p>
        </w:tc>
        <w:tc>
          <w:tcPr>
            <w:tcW w:w="2128" w:type="dxa"/>
          </w:tcPr>
          <w:p w14:paraId="6FBB2E88"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77-79%</w:t>
            </w:r>
          </w:p>
        </w:tc>
        <w:tc>
          <w:tcPr>
            <w:tcW w:w="1702" w:type="dxa"/>
          </w:tcPr>
          <w:p w14:paraId="7AF50087"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24223541"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0F48EAFA" w14:textId="77777777" w:rsidTr="005B3F59">
        <w:tc>
          <w:tcPr>
            <w:tcW w:w="1915" w:type="dxa"/>
          </w:tcPr>
          <w:p w14:paraId="73755CF4"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C</w:t>
            </w:r>
          </w:p>
        </w:tc>
        <w:tc>
          <w:tcPr>
            <w:tcW w:w="1915" w:type="dxa"/>
          </w:tcPr>
          <w:p w14:paraId="787BF57F"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2.00</w:t>
            </w:r>
          </w:p>
        </w:tc>
        <w:tc>
          <w:tcPr>
            <w:tcW w:w="2128" w:type="dxa"/>
          </w:tcPr>
          <w:p w14:paraId="468608E4"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72-76%</w:t>
            </w:r>
          </w:p>
        </w:tc>
        <w:tc>
          <w:tcPr>
            <w:tcW w:w="1702" w:type="dxa"/>
          </w:tcPr>
          <w:p w14:paraId="1F0FE121"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3F3C81B6"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3E9BF74E" w14:textId="77777777" w:rsidTr="005B3F59">
        <w:tc>
          <w:tcPr>
            <w:tcW w:w="1915" w:type="dxa"/>
          </w:tcPr>
          <w:p w14:paraId="7B6B33B6"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C-</w:t>
            </w:r>
          </w:p>
        </w:tc>
        <w:tc>
          <w:tcPr>
            <w:tcW w:w="1915" w:type="dxa"/>
          </w:tcPr>
          <w:p w14:paraId="5AABC47A"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1.75</w:t>
            </w:r>
          </w:p>
        </w:tc>
        <w:tc>
          <w:tcPr>
            <w:tcW w:w="2128" w:type="dxa"/>
          </w:tcPr>
          <w:p w14:paraId="0A9D63CD"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70-71%</w:t>
            </w:r>
          </w:p>
        </w:tc>
        <w:tc>
          <w:tcPr>
            <w:tcW w:w="1702" w:type="dxa"/>
          </w:tcPr>
          <w:p w14:paraId="530A5D07"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4F9FC02A"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591A0B5F" w14:textId="77777777" w:rsidTr="005B3F59">
        <w:tc>
          <w:tcPr>
            <w:tcW w:w="1915" w:type="dxa"/>
          </w:tcPr>
          <w:p w14:paraId="006B4255"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lastRenderedPageBreak/>
              <w:t>F</w:t>
            </w:r>
          </w:p>
        </w:tc>
        <w:tc>
          <w:tcPr>
            <w:tcW w:w="1915" w:type="dxa"/>
          </w:tcPr>
          <w:p w14:paraId="2DDC65EF"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0.00</w:t>
            </w:r>
          </w:p>
        </w:tc>
        <w:tc>
          <w:tcPr>
            <w:tcW w:w="2128" w:type="dxa"/>
          </w:tcPr>
          <w:p w14:paraId="7B3F5E5C"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69% or less</w:t>
            </w:r>
          </w:p>
        </w:tc>
        <w:tc>
          <w:tcPr>
            <w:tcW w:w="1702" w:type="dxa"/>
          </w:tcPr>
          <w:p w14:paraId="4913E146"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c>
          <w:tcPr>
            <w:tcW w:w="1916" w:type="dxa"/>
          </w:tcPr>
          <w:p w14:paraId="1AB6279A"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106D7F3C" w14:textId="77777777" w:rsidTr="005B3F59">
        <w:tc>
          <w:tcPr>
            <w:tcW w:w="1915" w:type="dxa"/>
          </w:tcPr>
          <w:p w14:paraId="57331FD7"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S</w:t>
            </w:r>
          </w:p>
        </w:tc>
        <w:tc>
          <w:tcPr>
            <w:tcW w:w="1915" w:type="dxa"/>
          </w:tcPr>
          <w:p w14:paraId="5F595D43"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w:t>
            </w:r>
          </w:p>
        </w:tc>
        <w:tc>
          <w:tcPr>
            <w:tcW w:w="2128" w:type="dxa"/>
          </w:tcPr>
          <w:p w14:paraId="025BAB3C"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Satisfactory</w:t>
            </w:r>
          </w:p>
        </w:tc>
        <w:tc>
          <w:tcPr>
            <w:tcW w:w="1702" w:type="dxa"/>
          </w:tcPr>
          <w:p w14:paraId="11C4D2C0"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46D5BAD6"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4AC1BF11" w14:textId="77777777" w:rsidTr="005B3F59">
        <w:tc>
          <w:tcPr>
            <w:tcW w:w="1915" w:type="dxa"/>
          </w:tcPr>
          <w:p w14:paraId="53B6CBF4"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U</w:t>
            </w:r>
          </w:p>
        </w:tc>
        <w:tc>
          <w:tcPr>
            <w:tcW w:w="1915" w:type="dxa"/>
          </w:tcPr>
          <w:p w14:paraId="26BB4175"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w:t>
            </w:r>
          </w:p>
        </w:tc>
        <w:tc>
          <w:tcPr>
            <w:tcW w:w="2128" w:type="dxa"/>
          </w:tcPr>
          <w:p w14:paraId="78CAFBF8"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Unsatisfactory</w:t>
            </w:r>
          </w:p>
        </w:tc>
        <w:tc>
          <w:tcPr>
            <w:tcW w:w="1702" w:type="dxa"/>
          </w:tcPr>
          <w:p w14:paraId="1E314A76"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c>
          <w:tcPr>
            <w:tcW w:w="1916" w:type="dxa"/>
          </w:tcPr>
          <w:p w14:paraId="640263F6"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2F546811" w14:textId="77777777" w:rsidTr="005B3F59">
        <w:tc>
          <w:tcPr>
            <w:tcW w:w="1915" w:type="dxa"/>
          </w:tcPr>
          <w:p w14:paraId="05CBBBD5"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AU</w:t>
            </w:r>
          </w:p>
        </w:tc>
        <w:tc>
          <w:tcPr>
            <w:tcW w:w="1915" w:type="dxa"/>
          </w:tcPr>
          <w:p w14:paraId="73F186E2"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w:t>
            </w:r>
          </w:p>
        </w:tc>
        <w:tc>
          <w:tcPr>
            <w:tcW w:w="2128" w:type="dxa"/>
          </w:tcPr>
          <w:p w14:paraId="13D08843"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Audit</w:t>
            </w:r>
          </w:p>
        </w:tc>
        <w:tc>
          <w:tcPr>
            <w:tcW w:w="1702" w:type="dxa"/>
          </w:tcPr>
          <w:p w14:paraId="42082511"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c>
          <w:tcPr>
            <w:tcW w:w="1916" w:type="dxa"/>
          </w:tcPr>
          <w:p w14:paraId="4D82D5E4"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r>
      <w:tr w:rsidR="007559F3" w:rsidRPr="007559F3" w14:paraId="561DCAC2" w14:textId="77777777" w:rsidTr="005B3F59">
        <w:tc>
          <w:tcPr>
            <w:tcW w:w="1915" w:type="dxa"/>
          </w:tcPr>
          <w:p w14:paraId="54291EA7"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TC</w:t>
            </w:r>
          </w:p>
        </w:tc>
        <w:tc>
          <w:tcPr>
            <w:tcW w:w="1915" w:type="dxa"/>
          </w:tcPr>
          <w:p w14:paraId="4889DBA3"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w:t>
            </w:r>
          </w:p>
        </w:tc>
        <w:tc>
          <w:tcPr>
            <w:tcW w:w="2128" w:type="dxa"/>
          </w:tcPr>
          <w:p w14:paraId="6BBBD66D"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Transfer of Credit</w:t>
            </w:r>
          </w:p>
        </w:tc>
        <w:tc>
          <w:tcPr>
            <w:tcW w:w="1702" w:type="dxa"/>
          </w:tcPr>
          <w:p w14:paraId="201E081D"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c>
          <w:tcPr>
            <w:tcW w:w="1916" w:type="dxa"/>
          </w:tcPr>
          <w:p w14:paraId="3B2A056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2962D4D0" w14:textId="77777777" w:rsidTr="005B3F59">
        <w:tc>
          <w:tcPr>
            <w:tcW w:w="1915" w:type="dxa"/>
          </w:tcPr>
          <w:p w14:paraId="4FF850DD"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R</w:t>
            </w:r>
          </w:p>
        </w:tc>
        <w:tc>
          <w:tcPr>
            <w:tcW w:w="1915" w:type="dxa"/>
          </w:tcPr>
          <w:p w14:paraId="044306B4"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w:t>
            </w:r>
          </w:p>
        </w:tc>
        <w:tc>
          <w:tcPr>
            <w:tcW w:w="2128" w:type="dxa"/>
          </w:tcPr>
          <w:p w14:paraId="1A64E7C2"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Repeat</w:t>
            </w:r>
          </w:p>
        </w:tc>
        <w:tc>
          <w:tcPr>
            <w:tcW w:w="1702" w:type="dxa"/>
          </w:tcPr>
          <w:p w14:paraId="2C1BB214"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c>
          <w:tcPr>
            <w:tcW w:w="1916" w:type="dxa"/>
          </w:tcPr>
          <w:p w14:paraId="3D8B7060"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r w:rsidR="007559F3" w:rsidRPr="007559F3" w14:paraId="0708705A" w14:textId="77777777" w:rsidTr="005B3F59">
        <w:tc>
          <w:tcPr>
            <w:tcW w:w="1915" w:type="dxa"/>
          </w:tcPr>
          <w:p w14:paraId="4F8B0368" w14:textId="77777777" w:rsidR="007559F3" w:rsidRPr="007559F3" w:rsidRDefault="007559F3" w:rsidP="007559F3">
            <w:pPr>
              <w:spacing w:after="0" w:line="240" w:lineRule="auto"/>
              <w:jc w:val="center"/>
              <w:rPr>
                <w:rFonts w:ascii="Times New Roman" w:eastAsia="Calibri" w:hAnsi="Times New Roman" w:cs="Times New Roman"/>
                <w:kern w:val="0"/>
                <w:sz w:val="22"/>
                <w:szCs w:val="22"/>
                <w14:ligatures w14:val="none"/>
              </w:rPr>
            </w:pPr>
            <w:r w:rsidRPr="007559F3">
              <w:rPr>
                <w:rFonts w:ascii="Times New Roman" w:eastAsia="Calibri" w:hAnsi="Times New Roman" w:cs="Times New Roman"/>
                <w:kern w:val="0"/>
                <w:sz w:val="22"/>
                <w:szCs w:val="22"/>
                <w14:ligatures w14:val="none"/>
              </w:rPr>
              <w:t>W</w:t>
            </w:r>
          </w:p>
        </w:tc>
        <w:tc>
          <w:tcPr>
            <w:tcW w:w="1915" w:type="dxa"/>
          </w:tcPr>
          <w:p w14:paraId="230E9070"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w:t>
            </w:r>
          </w:p>
        </w:tc>
        <w:tc>
          <w:tcPr>
            <w:tcW w:w="2128" w:type="dxa"/>
          </w:tcPr>
          <w:p w14:paraId="00C7E27F"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Withdraw</w:t>
            </w:r>
          </w:p>
        </w:tc>
        <w:tc>
          <w:tcPr>
            <w:tcW w:w="1702" w:type="dxa"/>
          </w:tcPr>
          <w:p w14:paraId="0F48D265"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No</w:t>
            </w:r>
          </w:p>
        </w:tc>
        <w:tc>
          <w:tcPr>
            <w:tcW w:w="1916" w:type="dxa"/>
          </w:tcPr>
          <w:p w14:paraId="77BC1F44" w14:textId="77777777" w:rsidR="007559F3" w:rsidRPr="007559F3" w:rsidRDefault="007559F3" w:rsidP="007559F3">
            <w:pPr>
              <w:autoSpaceDE w:val="0"/>
              <w:autoSpaceDN w:val="0"/>
              <w:adjustRightInd w:val="0"/>
              <w:spacing w:after="0" w:line="240" w:lineRule="auto"/>
              <w:jc w:val="center"/>
              <w:rPr>
                <w:rFonts w:ascii="Times New Roman" w:eastAsia="Calibri" w:hAnsi="Times New Roman" w:cs="Times New Roman"/>
                <w:bCs/>
                <w:kern w:val="0"/>
                <w:sz w:val="22"/>
                <w:szCs w:val="22"/>
                <w14:ligatures w14:val="none"/>
              </w:rPr>
            </w:pPr>
            <w:r w:rsidRPr="007559F3">
              <w:rPr>
                <w:rFonts w:ascii="Times New Roman" w:eastAsia="Calibri" w:hAnsi="Times New Roman" w:cs="Times New Roman"/>
                <w:bCs/>
                <w:kern w:val="0"/>
                <w:sz w:val="22"/>
                <w:szCs w:val="22"/>
                <w14:ligatures w14:val="none"/>
              </w:rPr>
              <w:t>Yes</w:t>
            </w:r>
          </w:p>
        </w:tc>
      </w:tr>
    </w:tbl>
    <w:p w14:paraId="69CAD32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u w:color="000000"/>
          <w14:ligatures w14:val="none"/>
        </w:rPr>
      </w:pPr>
    </w:p>
    <w:p w14:paraId="2512A02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5697127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Transfer of Credits</w:t>
      </w:r>
    </w:p>
    <w:p w14:paraId="7CAB792D"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Transfer credits granted in accordance with our Transfer Credit Policy as detailed in the </w:t>
      </w:r>
      <w:r w:rsidRPr="007559F3">
        <w:rPr>
          <w:rFonts w:ascii="Times New Roman" w:eastAsia="Times New Roman" w:hAnsi="Times New Roman" w:cs="Times New Roman"/>
          <w:i/>
          <w:iCs/>
          <w:color w:val="000000"/>
          <w:kern w:val="0"/>
          <w:sz w:val="22"/>
          <w:szCs w:val="22"/>
          <w14:ligatures w14:val="none"/>
        </w:rPr>
        <w:t>Transfer of Credit</w:t>
      </w:r>
      <w:r w:rsidRPr="007559F3">
        <w:rPr>
          <w:rFonts w:ascii="Times New Roman" w:eastAsia="Times New Roman" w:hAnsi="Times New Roman" w:cs="Times New Roman"/>
          <w:color w:val="000000"/>
          <w:kern w:val="0"/>
          <w:sz w:val="22"/>
          <w:szCs w:val="22"/>
          <w14:ligatures w14:val="none"/>
        </w:rPr>
        <w:t xml:space="preserve"> section of the catalog count toward meeting overall program credit requirements. Approved transfer credits are given a grade of TC. The TC grade is counted as credits attempted and credits earned but does not carry any quality points. It is included in the calculation of CP and </w:t>
      </w:r>
      <w:proofErr w:type="gramStart"/>
      <w:r w:rsidRPr="007559F3">
        <w:rPr>
          <w:rFonts w:ascii="Times New Roman" w:eastAsia="Times New Roman" w:hAnsi="Times New Roman" w:cs="Times New Roman"/>
          <w:color w:val="000000"/>
          <w:kern w:val="0"/>
          <w:sz w:val="22"/>
          <w:szCs w:val="22"/>
          <w14:ligatures w14:val="none"/>
        </w:rPr>
        <w:t>MTF, but</w:t>
      </w:r>
      <w:proofErr w:type="gramEnd"/>
      <w:r w:rsidRPr="007559F3">
        <w:rPr>
          <w:rFonts w:ascii="Times New Roman" w:eastAsia="Times New Roman" w:hAnsi="Times New Roman" w:cs="Times New Roman"/>
          <w:color w:val="000000"/>
          <w:kern w:val="0"/>
          <w:sz w:val="22"/>
          <w:szCs w:val="22"/>
          <w14:ligatures w14:val="none"/>
        </w:rPr>
        <w:t xml:space="preserve"> not included in the calculation of CGPA.</w:t>
      </w:r>
    </w:p>
    <w:p w14:paraId="5954A46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1F34541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Minimum Course Percentage Requirements for Successful Completion</w:t>
      </w:r>
    </w:p>
    <w:p w14:paraId="358AF18A" w14:textId="77777777" w:rsidR="007559F3" w:rsidRPr="007559F3" w:rsidRDefault="007559F3" w:rsidP="007559F3">
      <w:pPr>
        <w:suppressAutoHyphens/>
        <w:autoSpaceDE w:val="0"/>
        <w:autoSpaceDN w:val="0"/>
        <w:adjustRightInd w:val="0"/>
        <w:spacing w:after="0" w:line="288" w:lineRule="auto"/>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HCA, MA, MOA, PCT, PH, PMB &amp; BS-HCA programs............70%</w:t>
      </w:r>
    </w:p>
    <w:p w14:paraId="2E61064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OTA, RT &amp; BSRT programs...................................................77%</w:t>
      </w:r>
    </w:p>
    <w:p w14:paraId="5B3AFF7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PN &amp; PTA programs...............................................................80%</w:t>
      </w:r>
    </w:p>
    <w:p w14:paraId="0167C6D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i/>
          <w:i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w:t>
      </w:r>
      <w:r w:rsidRPr="007559F3">
        <w:rPr>
          <w:rFonts w:ascii="Times New Roman" w:eastAsia="Times New Roman" w:hAnsi="Times New Roman" w:cs="Times New Roman"/>
          <w:b/>
          <w:bCs/>
          <w:i/>
          <w:iCs/>
          <w:color w:val="000000"/>
          <w:kern w:val="0"/>
          <w:sz w:val="22"/>
          <w:szCs w:val="22"/>
          <w14:ligatures w14:val="none"/>
        </w:rPr>
        <w:t>Percentages do not necessarily reflect progression towards successfully meeting CGPA requirements for program completion.</w:t>
      </w:r>
    </w:p>
    <w:p w14:paraId="0542C4B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6D81B8A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Additional Standards of Satisfactory Academic Progress (SAP Policy)</w:t>
      </w:r>
    </w:p>
    <w:p w14:paraId="24960D5C"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2B8B547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Occupational Therapy Program, AAS</w:t>
      </w:r>
    </w:p>
    <w:p w14:paraId="1B345577"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1. Students who do not successfully pass any pre-requisite (general education) or core OTA </w:t>
      </w:r>
      <w:proofErr w:type="gramStart"/>
      <w:r w:rsidRPr="007559F3">
        <w:rPr>
          <w:rFonts w:ascii="Times New Roman" w:eastAsia="Times New Roman" w:hAnsi="Times New Roman" w:cs="Times New Roman"/>
          <w:color w:val="000000"/>
          <w:kern w:val="0"/>
          <w:sz w:val="22"/>
          <w:szCs w:val="22"/>
          <w14:ligatures w14:val="none"/>
        </w:rPr>
        <w:t>course,</w:t>
      </w:r>
      <w:proofErr w:type="gramEnd"/>
      <w:r w:rsidRPr="007559F3">
        <w:rPr>
          <w:rFonts w:ascii="Times New Roman" w:eastAsia="Times New Roman" w:hAnsi="Times New Roman" w:cs="Times New Roman"/>
          <w:color w:val="000000"/>
          <w:kern w:val="0"/>
          <w:sz w:val="22"/>
          <w:szCs w:val="22"/>
          <w14:ligatures w14:val="none"/>
        </w:rPr>
        <w:t xml:space="preserve"> will have only one opportunity to repeat that same course again.</w:t>
      </w:r>
    </w:p>
    <w:p w14:paraId="41BF6FD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2. A failure of any of the </w:t>
      </w:r>
      <w:proofErr w:type="gramStart"/>
      <w:r w:rsidRPr="007559F3">
        <w:rPr>
          <w:rFonts w:ascii="Times New Roman" w:eastAsia="Times New Roman" w:hAnsi="Times New Roman" w:cs="Times New Roman"/>
          <w:color w:val="000000"/>
          <w:kern w:val="0"/>
          <w:sz w:val="22"/>
          <w:szCs w:val="22"/>
          <w14:ligatures w14:val="none"/>
        </w:rPr>
        <w:t>classes repeated,</w:t>
      </w:r>
      <w:proofErr w:type="gramEnd"/>
      <w:r w:rsidRPr="007559F3">
        <w:rPr>
          <w:rFonts w:ascii="Times New Roman" w:eastAsia="Times New Roman" w:hAnsi="Times New Roman" w:cs="Times New Roman"/>
          <w:color w:val="000000"/>
          <w:kern w:val="0"/>
          <w:sz w:val="22"/>
          <w:szCs w:val="22"/>
          <w14:ligatures w14:val="none"/>
        </w:rPr>
        <w:t xml:space="preserve"> results in an automatic dismissal from the OTA program.</w:t>
      </w:r>
    </w:p>
    <w:p w14:paraId="6832CBD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3. Any student who fails two (2) or more courses in the same semester may be dismissed from the program.</w:t>
      </w:r>
    </w:p>
    <w:p w14:paraId="7FC2180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4. 77% or better will be required for all pre-requisite (general education) courses, and OTA core courses.</w:t>
      </w:r>
    </w:p>
    <w:p w14:paraId="542064C3"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5. Complete all fieldwork course assignments within 18 months of completion of all didactic portions of the OTA program and receive satisfactory, or minimum of 77% grade in each fieldwork assignment.</w:t>
      </w:r>
    </w:p>
    <w:p w14:paraId="79C66ADF"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6. A student may not enroll in the OTA program more than twice.</w:t>
      </w:r>
    </w:p>
    <w:p w14:paraId="0DA2CB85" w14:textId="5AB55418"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7</w:t>
      </w:r>
      <w:r w:rsidRPr="007559F3">
        <w:rPr>
          <w:rFonts w:ascii="Times New Roman" w:eastAsia="Times New Roman" w:hAnsi="Times New Roman" w:cs="Times New Roman"/>
          <w:color w:val="000000"/>
          <w:kern w:val="0"/>
          <w:sz w:val="22"/>
          <w:szCs w:val="22"/>
          <w14:ligatures w14:val="none"/>
        </w:rPr>
        <w:t>. Students may appeal the decision of a dismissal.</w:t>
      </w:r>
    </w:p>
    <w:p w14:paraId="3966781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2B1A1533"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Physical Therapist Assistant, AAS</w:t>
      </w:r>
    </w:p>
    <w:p w14:paraId="22AC0F4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1. Successful progression in the </w:t>
      </w:r>
      <w:proofErr w:type="gramStart"/>
      <w:r w:rsidRPr="007559F3">
        <w:rPr>
          <w:rFonts w:ascii="Times New Roman" w:eastAsia="Times New Roman" w:hAnsi="Times New Roman" w:cs="Times New Roman"/>
          <w:color w:val="000000"/>
          <w:kern w:val="0"/>
          <w:sz w:val="22"/>
          <w:szCs w:val="22"/>
          <w14:ligatures w14:val="none"/>
        </w:rPr>
        <w:t>PTA program</w:t>
      </w:r>
      <w:proofErr w:type="gramEnd"/>
      <w:r w:rsidRPr="007559F3">
        <w:rPr>
          <w:rFonts w:ascii="Times New Roman" w:eastAsia="Times New Roman" w:hAnsi="Times New Roman" w:cs="Times New Roman"/>
          <w:color w:val="000000"/>
          <w:kern w:val="0"/>
          <w:sz w:val="22"/>
          <w:szCs w:val="22"/>
          <w14:ligatures w14:val="none"/>
        </w:rPr>
        <w:t xml:space="preserve"> involves meeting all pre-requisite course progression requirements which mandate a minimum of an 80% in all pre-requisite (general education) courses to progress on to the next term’s coursework.</w:t>
      </w:r>
    </w:p>
    <w:p w14:paraId="3DD226A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lastRenderedPageBreak/>
        <w:t>2. 80% will be required for all PTA core classes and a minimum cumulative GPA of 2.75 to progress successfully through the program.</w:t>
      </w:r>
    </w:p>
    <w:p w14:paraId="4220A53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3. PTA core coursework must be completed in the sequence outlined and prior to clinical internships.</w:t>
      </w:r>
    </w:p>
    <w:p w14:paraId="796DECD7"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4. Students who do not successfully pass any institutional pre-requisite (general education) or core PTA </w:t>
      </w:r>
      <w:proofErr w:type="gramStart"/>
      <w:r w:rsidRPr="007559F3">
        <w:rPr>
          <w:rFonts w:ascii="Times New Roman" w:eastAsia="Times New Roman" w:hAnsi="Times New Roman" w:cs="Times New Roman"/>
          <w:color w:val="000000"/>
          <w:kern w:val="0"/>
          <w:sz w:val="22"/>
          <w:szCs w:val="22"/>
          <w14:ligatures w14:val="none"/>
        </w:rPr>
        <w:t>course,</w:t>
      </w:r>
      <w:proofErr w:type="gramEnd"/>
      <w:r w:rsidRPr="007559F3">
        <w:rPr>
          <w:rFonts w:ascii="Times New Roman" w:eastAsia="Times New Roman" w:hAnsi="Times New Roman" w:cs="Times New Roman"/>
          <w:color w:val="000000"/>
          <w:kern w:val="0"/>
          <w:sz w:val="22"/>
          <w:szCs w:val="22"/>
          <w14:ligatures w14:val="none"/>
        </w:rPr>
        <w:t xml:space="preserve"> will have only one opportunity to repeat that same course again.</w:t>
      </w:r>
    </w:p>
    <w:p w14:paraId="0923DC1C"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5. If a student fails any repeated course(s) or has a combination of more than 5 college course failures total, they will be automatically dismissed from the PTA program.</w:t>
      </w:r>
    </w:p>
    <w:p w14:paraId="3FBFD625"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6. Any student who fails two (2) or more courses in the same semester will be dismissed from the program.</w:t>
      </w:r>
    </w:p>
    <w:p w14:paraId="3D87173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7. A student may not enroll in the PTA program more than twice.</w:t>
      </w:r>
    </w:p>
    <w:p w14:paraId="4A6AD002" w14:textId="4464F6B6"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8</w:t>
      </w:r>
      <w:r w:rsidRPr="007559F3">
        <w:rPr>
          <w:rFonts w:ascii="Times New Roman" w:eastAsia="Times New Roman" w:hAnsi="Times New Roman" w:cs="Times New Roman"/>
          <w:color w:val="000000"/>
          <w:kern w:val="0"/>
          <w:sz w:val="22"/>
          <w:szCs w:val="22"/>
          <w14:ligatures w14:val="none"/>
        </w:rPr>
        <w:t>. Students may appeal the decision of a dismissal.</w:t>
      </w:r>
    </w:p>
    <w:p w14:paraId="7EBABB5C"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5CB2B913"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Practical Nursing, Diploma</w:t>
      </w:r>
    </w:p>
    <w:p w14:paraId="4F72E318" w14:textId="4E53C7C2"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1. At the end of each semester (15 weeks</w:t>
      </w:r>
      <w:r>
        <w:rPr>
          <w:rFonts w:ascii="Times New Roman" w:eastAsia="Times New Roman" w:hAnsi="Times New Roman" w:cs="Times New Roman"/>
          <w:color w:val="000000"/>
          <w:kern w:val="0"/>
          <w:sz w:val="22"/>
          <w:szCs w:val="22"/>
          <w14:ligatures w14:val="none"/>
        </w:rPr>
        <w:t>, and except for the first semester</w:t>
      </w:r>
      <w:r w:rsidRPr="007559F3">
        <w:rPr>
          <w:rFonts w:ascii="Times New Roman" w:eastAsia="Times New Roman" w:hAnsi="Times New Roman" w:cs="Times New Roman"/>
          <w:color w:val="000000"/>
          <w:kern w:val="0"/>
          <w:sz w:val="22"/>
          <w:szCs w:val="22"/>
          <w14:ligatures w14:val="none"/>
        </w:rPr>
        <w:t xml:space="preserve">), a student must have received a grade of 80% (B-) and/or a Satisfactory in each subject and/or clinical area </w:t>
      </w:r>
      <w:proofErr w:type="gramStart"/>
      <w:r w:rsidRPr="007559F3">
        <w:rPr>
          <w:rFonts w:ascii="Times New Roman" w:eastAsia="Times New Roman" w:hAnsi="Times New Roman" w:cs="Times New Roman"/>
          <w:color w:val="000000"/>
          <w:kern w:val="0"/>
          <w:sz w:val="22"/>
          <w:szCs w:val="22"/>
          <w14:ligatures w14:val="none"/>
        </w:rPr>
        <w:t>in order to</w:t>
      </w:r>
      <w:proofErr w:type="gramEnd"/>
      <w:r w:rsidRPr="007559F3">
        <w:rPr>
          <w:rFonts w:ascii="Times New Roman" w:eastAsia="Times New Roman" w:hAnsi="Times New Roman" w:cs="Times New Roman"/>
          <w:color w:val="000000"/>
          <w:kern w:val="0"/>
          <w:sz w:val="22"/>
          <w:szCs w:val="22"/>
          <w14:ligatures w14:val="none"/>
        </w:rPr>
        <w:t xml:space="preserve"> progress into the next semester.</w:t>
      </w:r>
    </w:p>
    <w:p w14:paraId="057EFDB8"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2. If a student is not successful in a course, the student must repeat all components of the course/semester, including clinical or simulation.</w:t>
      </w:r>
    </w:p>
    <w:p w14:paraId="73D821D4"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3. Students who fail one course in any semester may only continue with permission of the Director of Nursing providing there is a seat available. If a student fails one course, the student has the option to sit before a board of nursing faculty, to discuss </w:t>
      </w:r>
      <w:proofErr w:type="gramStart"/>
      <w:r w:rsidRPr="007559F3">
        <w:rPr>
          <w:rFonts w:ascii="Times New Roman" w:eastAsia="Times New Roman" w:hAnsi="Times New Roman" w:cs="Times New Roman"/>
          <w:color w:val="000000"/>
          <w:kern w:val="0"/>
          <w:sz w:val="22"/>
          <w:szCs w:val="22"/>
          <w14:ligatures w14:val="none"/>
        </w:rPr>
        <w:t>whether or not</w:t>
      </w:r>
      <w:proofErr w:type="gramEnd"/>
      <w:r w:rsidRPr="007559F3">
        <w:rPr>
          <w:rFonts w:ascii="Times New Roman" w:eastAsia="Times New Roman" w:hAnsi="Times New Roman" w:cs="Times New Roman"/>
          <w:color w:val="000000"/>
          <w:kern w:val="0"/>
          <w:sz w:val="22"/>
          <w:szCs w:val="22"/>
          <w14:ligatures w14:val="none"/>
        </w:rPr>
        <w:t xml:space="preserve"> the student will be able to repeat the course. Failing (receiving lower than 80%) multiple courses in a </w:t>
      </w:r>
      <w:proofErr w:type="gramStart"/>
      <w:r w:rsidRPr="007559F3">
        <w:rPr>
          <w:rFonts w:ascii="Times New Roman" w:eastAsia="Times New Roman" w:hAnsi="Times New Roman" w:cs="Times New Roman"/>
          <w:color w:val="000000"/>
          <w:kern w:val="0"/>
          <w:sz w:val="22"/>
          <w:szCs w:val="22"/>
          <w14:ligatures w14:val="none"/>
        </w:rPr>
        <w:t>semester results</w:t>
      </w:r>
      <w:proofErr w:type="gramEnd"/>
      <w:r w:rsidRPr="007559F3">
        <w:rPr>
          <w:rFonts w:ascii="Times New Roman" w:eastAsia="Times New Roman" w:hAnsi="Times New Roman" w:cs="Times New Roman"/>
          <w:color w:val="000000"/>
          <w:kern w:val="0"/>
          <w:sz w:val="22"/>
          <w:szCs w:val="22"/>
          <w14:ligatures w14:val="none"/>
        </w:rPr>
        <w:t xml:space="preserve"> in a program dismissal. The decision to continue a student in the program is made by all nursing faculty, and/or Director of Nursing.</w:t>
      </w:r>
    </w:p>
    <w:p w14:paraId="4596C5BD"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4. Depending on the </w:t>
      </w:r>
      <w:proofErr w:type="gramStart"/>
      <w:r w:rsidRPr="007559F3">
        <w:rPr>
          <w:rFonts w:ascii="Times New Roman" w:eastAsia="Times New Roman" w:hAnsi="Times New Roman" w:cs="Times New Roman"/>
          <w:color w:val="000000"/>
          <w:kern w:val="0"/>
          <w:sz w:val="22"/>
          <w:szCs w:val="22"/>
          <w14:ligatures w14:val="none"/>
        </w:rPr>
        <w:t>student’s</w:t>
      </w:r>
      <w:proofErr w:type="gramEnd"/>
      <w:r w:rsidRPr="007559F3">
        <w:rPr>
          <w:rFonts w:ascii="Times New Roman" w:eastAsia="Times New Roman" w:hAnsi="Times New Roman" w:cs="Times New Roman"/>
          <w:color w:val="000000"/>
          <w:kern w:val="0"/>
          <w:sz w:val="22"/>
          <w:szCs w:val="22"/>
          <w14:ligatures w14:val="none"/>
        </w:rPr>
        <w:t xml:space="preserve"> admission date, January, May or August, the student granted a repeat may only do so if space is available.</w:t>
      </w:r>
    </w:p>
    <w:p w14:paraId="442CCA16"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5. If a student fails a course, they must repeat all core nursing courses for that semester, unless receiving a grade of 90% or better in that course.</w:t>
      </w:r>
    </w:p>
    <w:p w14:paraId="05519373"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6. A multi-course failure in a semester is an automatic dismissal from the PN program.</w:t>
      </w:r>
    </w:p>
    <w:p w14:paraId="25925402"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7. A failure of any of the classes </w:t>
      </w:r>
      <w:proofErr w:type="gramStart"/>
      <w:r w:rsidRPr="007559F3">
        <w:rPr>
          <w:rFonts w:ascii="Times New Roman" w:eastAsia="Times New Roman" w:hAnsi="Times New Roman" w:cs="Times New Roman"/>
          <w:color w:val="000000"/>
          <w:kern w:val="0"/>
          <w:sz w:val="22"/>
          <w:szCs w:val="22"/>
          <w14:ligatures w14:val="none"/>
        </w:rPr>
        <w:t>repeated,</w:t>
      </w:r>
      <w:proofErr w:type="gramEnd"/>
      <w:r w:rsidRPr="007559F3">
        <w:rPr>
          <w:rFonts w:ascii="Times New Roman" w:eastAsia="Times New Roman" w:hAnsi="Times New Roman" w:cs="Times New Roman"/>
          <w:color w:val="000000"/>
          <w:kern w:val="0"/>
          <w:sz w:val="22"/>
          <w:szCs w:val="22"/>
          <w14:ligatures w14:val="none"/>
        </w:rPr>
        <w:t xml:space="preserve"> results in an automatic dismissal from the PN program.</w:t>
      </w:r>
    </w:p>
    <w:p w14:paraId="12A6DA31" w14:textId="049AF546"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8</w:t>
      </w:r>
      <w:r w:rsidRPr="007559F3">
        <w:rPr>
          <w:rFonts w:ascii="Times New Roman" w:eastAsia="Times New Roman" w:hAnsi="Times New Roman" w:cs="Times New Roman"/>
          <w:color w:val="000000"/>
          <w:kern w:val="0"/>
          <w:sz w:val="22"/>
          <w:szCs w:val="22"/>
          <w14:ligatures w14:val="none"/>
        </w:rPr>
        <w:t>. Course Sequence: Successful completion of all nursing courses in concurrence and sequence as outlined in the program’s curriculum plan is required to continue in the program.</w:t>
      </w:r>
    </w:p>
    <w:p w14:paraId="260D4CDD"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p>
    <w:p w14:paraId="674A8390"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b/>
          <w:bCs/>
          <w:color w:val="000000"/>
          <w:kern w:val="0"/>
          <w:sz w:val="22"/>
          <w:szCs w:val="22"/>
          <w14:ligatures w14:val="none"/>
        </w:rPr>
      </w:pPr>
      <w:r w:rsidRPr="007559F3">
        <w:rPr>
          <w:rFonts w:ascii="Times New Roman" w:eastAsia="Times New Roman" w:hAnsi="Times New Roman" w:cs="Times New Roman"/>
          <w:b/>
          <w:bCs/>
          <w:color w:val="000000"/>
          <w:kern w:val="0"/>
          <w:sz w:val="22"/>
          <w:szCs w:val="22"/>
          <w14:ligatures w14:val="none"/>
        </w:rPr>
        <w:t>Respiratory Therapy, AAS &amp; BSRT</w:t>
      </w:r>
    </w:p>
    <w:p w14:paraId="30A61DE1"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1. Students must maintain at least a 2.50 cumulative grade point average with no grade below a “C+” in all courses.</w:t>
      </w:r>
    </w:p>
    <w:p w14:paraId="6FD5102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2. Students who do not successfully pass any course will have only one opportunity to repeat that same course again. </w:t>
      </w:r>
    </w:p>
    <w:p w14:paraId="5BD9E36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3. A failure in </w:t>
      </w:r>
      <w:r w:rsidRPr="007559F3">
        <w:rPr>
          <w:rFonts w:ascii="Times New Roman" w:eastAsia="Times New Roman" w:hAnsi="Times New Roman" w:cs="Times New Roman"/>
          <w:i/>
          <w:iCs/>
          <w:color w:val="000000"/>
          <w:kern w:val="0"/>
          <w:sz w:val="22"/>
          <w:szCs w:val="22"/>
          <w14:ligatures w14:val="none"/>
        </w:rPr>
        <w:t>any</w:t>
      </w:r>
      <w:r w:rsidRPr="007559F3">
        <w:rPr>
          <w:rFonts w:ascii="Times New Roman" w:eastAsia="Times New Roman" w:hAnsi="Times New Roman" w:cs="Times New Roman"/>
          <w:color w:val="000000"/>
          <w:kern w:val="0"/>
          <w:sz w:val="22"/>
          <w:szCs w:val="22"/>
          <w14:ligatures w14:val="none"/>
        </w:rPr>
        <w:t xml:space="preserve"> of the </w:t>
      </w:r>
      <w:proofErr w:type="gramStart"/>
      <w:r w:rsidRPr="007559F3">
        <w:rPr>
          <w:rFonts w:ascii="Times New Roman" w:eastAsia="Times New Roman" w:hAnsi="Times New Roman" w:cs="Times New Roman"/>
          <w:color w:val="000000"/>
          <w:kern w:val="0"/>
          <w:sz w:val="22"/>
          <w:szCs w:val="22"/>
          <w14:ligatures w14:val="none"/>
        </w:rPr>
        <w:t>classes repeated,</w:t>
      </w:r>
      <w:proofErr w:type="gramEnd"/>
      <w:r w:rsidRPr="007559F3">
        <w:rPr>
          <w:rFonts w:ascii="Times New Roman" w:eastAsia="Times New Roman" w:hAnsi="Times New Roman" w:cs="Times New Roman"/>
          <w:color w:val="000000"/>
          <w:kern w:val="0"/>
          <w:sz w:val="22"/>
          <w:szCs w:val="22"/>
          <w14:ligatures w14:val="none"/>
        </w:rPr>
        <w:t xml:space="preserve"> results in </w:t>
      </w:r>
      <w:proofErr w:type="gramStart"/>
      <w:r w:rsidRPr="007559F3">
        <w:rPr>
          <w:rFonts w:ascii="Times New Roman" w:eastAsia="Times New Roman" w:hAnsi="Times New Roman" w:cs="Times New Roman"/>
          <w:color w:val="000000"/>
          <w:kern w:val="0"/>
          <w:sz w:val="22"/>
          <w:szCs w:val="22"/>
          <w14:ligatures w14:val="none"/>
        </w:rPr>
        <w:t>a n</w:t>
      </w:r>
      <w:proofErr w:type="gramEnd"/>
      <w:r w:rsidRPr="007559F3">
        <w:rPr>
          <w:rFonts w:ascii="Times New Roman" w:eastAsia="Times New Roman" w:hAnsi="Times New Roman" w:cs="Times New Roman"/>
          <w:color w:val="000000"/>
          <w:kern w:val="0"/>
          <w:sz w:val="22"/>
          <w:szCs w:val="22"/>
          <w14:ligatures w14:val="none"/>
        </w:rPr>
        <w:t xml:space="preserve"> automatic dismissal from the RT program.</w:t>
      </w:r>
    </w:p>
    <w:p w14:paraId="50F63059"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 xml:space="preserve">4. If a student does fail courses in more than one </w:t>
      </w:r>
      <w:proofErr w:type="gramStart"/>
      <w:r w:rsidRPr="007559F3">
        <w:rPr>
          <w:rFonts w:ascii="Times New Roman" w:eastAsia="Times New Roman" w:hAnsi="Times New Roman" w:cs="Times New Roman"/>
          <w:color w:val="000000"/>
          <w:kern w:val="0"/>
          <w:sz w:val="22"/>
          <w:szCs w:val="22"/>
          <w14:ligatures w14:val="none"/>
        </w:rPr>
        <w:t>semester</w:t>
      </w:r>
      <w:proofErr w:type="gramEnd"/>
      <w:r w:rsidRPr="007559F3">
        <w:rPr>
          <w:rFonts w:ascii="Times New Roman" w:eastAsia="Times New Roman" w:hAnsi="Times New Roman" w:cs="Times New Roman"/>
          <w:color w:val="000000"/>
          <w:kern w:val="0"/>
          <w:sz w:val="22"/>
          <w:szCs w:val="22"/>
          <w14:ligatures w14:val="none"/>
        </w:rPr>
        <w:t xml:space="preserve"> they are eligible for dismissal from the RT program.</w:t>
      </w:r>
    </w:p>
    <w:p w14:paraId="0FA9B42E"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lastRenderedPageBreak/>
        <w:t xml:space="preserve">5. </w:t>
      </w:r>
      <w:r w:rsidRPr="007559F3">
        <w:rPr>
          <w:rFonts w:ascii="Times New Roman" w:eastAsia="Times New Roman" w:hAnsi="Times New Roman" w:cs="Times New Roman"/>
          <w:i/>
          <w:iCs/>
          <w:color w:val="000000"/>
          <w:kern w:val="0"/>
          <w:sz w:val="22"/>
          <w:szCs w:val="22"/>
          <w14:ligatures w14:val="none"/>
        </w:rPr>
        <w:t xml:space="preserve">AAS ONLY - </w:t>
      </w:r>
      <w:r w:rsidRPr="007559F3">
        <w:rPr>
          <w:rFonts w:ascii="Times New Roman" w:eastAsia="Times New Roman" w:hAnsi="Times New Roman" w:cs="Times New Roman"/>
          <w:color w:val="000000"/>
          <w:kern w:val="0"/>
          <w:sz w:val="22"/>
          <w:szCs w:val="22"/>
          <w14:ligatures w14:val="none"/>
        </w:rPr>
        <w:t xml:space="preserve">Students who fail any RC Principles &amp; Practice (P&amp;P) Course (I-IV), RC Lab (I-IV), or RC Clinical Practicum (I-IV) course will not be able to move into the next semester course work until these courses are successfully completed. </w:t>
      </w:r>
    </w:p>
    <w:p w14:paraId="7C72071F"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6. Any student who fails two (2) or more courses in the same semester will be dismissed from the program.</w:t>
      </w:r>
    </w:p>
    <w:p w14:paraId="3D883C3A" w14:textId="77777777" w:rsidR="007559F3" w:rsidRPr="007559F3" w:rsidRDefault="007559F3" w:rsidP="007559F3">
      <w:pPr>
        <w:suppressAutoHyphens/>
        <w:autoSpaceDE w:val="0"/>
        <w:autoSpaceDN w:val="0"/>
        <w:adjustRightInd w:val="0"/>
        <w:spacing w:after="0" w:line="288" w:lineRule="auto"/>
        <w:jc w:val="both"/>
        <w:textAlignment w:val="center"/>
        <w:rPr>
          <w:rFonts w:ascii="Times New Roman" w:eastAsia="Times New Roman" w:hAnsi="Times New Roman" w:cs="Times New Roman"/>
          <w:color w:val="000000"/>
          <w:kern w:val="0"/>
          <w:sz w:val="22"/>
          <w:szCs w:val="22"/>
          <w14:ligatures w14:val="none"/>
        </w:rPr>
      </w:pPr>
      <w:r w:rsidRPr="007559F3">
        <w:rPr>
          <w:rFonts w:ascii="Times New Roman" w:eastAsia="Times New Roman" w:hAnsi="Times New Roman" w:cs="Times New Roman"/>
          <w:color w:val="000000"/>
          <w:kern w:val="0"/>
          <w:sz w:val="22"/>
          <w:szCs w:val="22"/>
          <w14:ligatures w14:val="none"/>
        </w:rPr>
        <w:t>7. A 77% minimum final grade for each course is required for successful completion of the course.</w:t>
      </w:r>
    </w:p>
    <w:p w14:paraId="4E826624" w14:textId="32874598" w:rsidR="007559F3" w:rsidRPr="007559F3" w:rsidRDefault="007559F3" w:rsidP="007559F3">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Pr>
          <w:rFonts w:ascii="Times New Roman" w:eastAsia="Times New Roman" w:hAnsi="Times New Roman" w:cs="Times New Roman"/>
          <w:color w:val="000000"/>
          <w:kern w:val="0"/>
          <w:sz w:val="22"/>
          <w:szCs w:val="22"/>
          <w14:ligatures w14:val="none"/>
        </w:rPr>
        <w:t>8</w:t>
      </w:r>
      <w:r w:rsidRPr="007559F3">
        <w:rPr>
          <w:rFonts w:ascii="Times New Roman" w:eastAsia="Times New Roman" w:hAnsi="Times New Roman" w:cs="Times New Roman"/>
          <w:color w:val="000000"/>
          <w:kern w:val="0"/>
          <w:sz w:val="22"/>
          <w:szCs w:val="22"/>
          <w14:ligatures w14:val="none"/>
        </w:rPr>
        <w:t>. Students may appeal the decision of a dismissal.</w:t>
      </w:r>
    </w:p>
    <w:p w14:paraId="7DF8F6DA" w14:textId="77777777" w:rsidR="001E76DE" w:rsidRDefault="001E76DE"/>
    <w:sectPr w:rsidR="001E76DE" w:rsidSect="007559F3">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27DA" w14:textId="77777777" w:rsidR="008C5483" w:rsidRDefault="008C5483" w:rsidP="007559F3">
      <w:pPr>
        <w:spacing w:after="0" w:line="240" w:lineRule="auto"/>
      </w:pPr>
      <w:r>
        <w:separator/>
      </w:r>
    </w:p>
  </w:endnote>
  <w:endnote w:type="continuationSeparator" w:id="0">
    <w:p w14:paraId="08520E6B" w14:textId="77777777" w:rsidR="008C5483" w:rsidRDefault="008C5483" w:rsidP="0075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altName w:val="Cambria Math"/>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ED18" w14:textId="77777777" w:rsidR="007559F3" w:rsidRDefault="007559F3" w:rsidP="0086420B">
    <w:pPr>
      <w:pStyle w:val="Footer"/>
    </w:pPr>
    <w:proofErr w:type="spellStart"/>
    <w:r>
      <w:t>Stepful</w:t>
    </w:r>
    <w:proofErr w:type="spellEnd"/>
    <w:r>
      <w:t xml:space="preserve"> College reserves the right to amend any policy to benefit the student population and aid in the mission of the college</w:t>
    </w:r>
  </w:p>
  <w:p w14:paraId="3CED9586" w14:textId="77777777" w:rsidR="007559F3" w:rsidRDefault="007559F3" w:rsidP="0086420B">
    <w:pPr>
      <w:pStyle w:val="Footer"/>
    </w:pPr>
    <w:r>
      <w:t>Revised 8/24/2026</w:t>
    </w:r>
  </w:p>
  <w:p w14:paraId="018E0D6D" w14:textId="77777777" w:rsidR="007559F3" w:rsidRDefault="007559F3">
    <w:pPr>
      <w:pStyle w:val="Footer"/>
    </w:pPr>
  </w:p>
  <w:p w14:paraId="41A5B69C" w14:textId="77777777" w:rsidR="007559F3" w:rsidRDefault="00755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062F" w14:textId="77777777" w:rsidR="008C5483" w:rsidRDefault="008C5483" w:rsidP="007559F3">
      <w:pPr>
        <w:spacing w:after="0" w:line="240" w:lineRule="auto"/>
      </w:pPr>
      <w:r>
        <w:separator/>
      </w:r>
    </w:p>
  </w:footnote>
  <w:footnote w:type="continuationSeparator" w:id="0">
    <w:p w14:paraId="1DFA70EF" w14:textId="77777777" w:rsidR="008C5483" w:rsidRDefault="008C5483" w:rsidP="00755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3F7B" w14:textId="05E811D8" w:rsidR="007559F3" w:rsidRDefault="007559F3" w:rsidP="00034D3A">
    <w:pPr>
      <w:pStyle w:val="Header"/>
      <w:jc w:val="center"/>
    </w:pPr>
    <w:r>
      <w:rPr>
        <w:noProof/>
      </w:rPr>
      <w:drawing>
        <wp:inline distT="0" distB="0" distL="0" distR="0" wp14:anchorId="7B9555C1" wp14:editId="3A5A9C69">
          <wp:extent cx="4495800" cy="944880"/>
          <wp:effectExtent l="0" t="0" r="0" b="7620"/>
          <wp:docPr id="954121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800" cy="944880"/>
                  </a:xfrm>
                  <a:prstGeom prst="rect">
                    <a:avLst/>
                  </a:prstGeom>
                  <a:noFill/>
                  <a:ln>
                    <a:noFill/>
                  </a:ln>
                </pic:spPr>
              </pic:pic>
            </a:graphicData>
          </a:graphic>
        </wp:inline>
      </w:drawing>
    </w:r>
    <w:r w:rsidRPr="00125C06">
      <w:rPr>
        <w:noProof/>
      </w:rPr>
      <w:drawing>
        <wp:inline distT="0" distB="0" distL="0" distR="0" wp14:anchorId="2B07D5C9" wp14:editId="3143C3AD">
          <wp:extent cx="76200" cy="68580"/>
          <wp:effectExtent l="0" t="0" r="0" b="7620"/>
          <wp:docPr id="17497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 cy="685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F3"/>
    <w:rsid w:val="000A77CC"/>
    <w:rsid w:val="001E76DE"/>
    <w:rsid w:val="007559F3"/>
    <w:rsid w:val="00765567"/>
    <w:rsid w:val="008C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4EFD"/>
  <w15:chartTrackingRefBased/>
  <w15:docId w15:val="{2367E77F-A421-4159-905F-810C3962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9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9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9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9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9F3"/>
    <w:rPr>
      <w:rFonts w:eastAsiaTheme="majorEastAsia" w:cstheme="majorBidi"/>
      <w:color w:val="272727" w:themeColor="text1" w:themeTint="D8"/>
    </w:rPr>
  </w:style>
  <w:style w:type="paragraph" w:styleId="Title">
    <w:name w:val="Title"/>
    <w:basedOn w:val="Normal"/>
    <w:next w:val="Normal"/>
    <w:link w:val="TitleChar"/>
    <w:uiPriority w:val="10"/>
    <w:qFormat/>
    <w:rsid w:val="00755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9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9F3"/>
    <w:pPr>
      <w:spacing w:before="160"/>
      <w:jc w:val="center"/>
    </w:pPr>
    <w:rPr>
      <w:i/>
      <w:iCs/>
      <w:color w:val="404040" w:themeColor="text1" w:themeTint="BF"/>
    </w:rPr>
  </w:style>
  <w:style w:type="character" w:customStyle="1" w:styleId="QuoteChar">
    <w:name w:val="Quote Char"/>
    <w:basedOn w:val="DefaultParagraphFont"/>
    <w:link w:val="Quote"/>
    <w:uiPriority w:val="29"/>
    <w:rsid w:val="007559F3"/>
    <w:rPr>
      <w:i/>
      <w:iCs/>
      <w:color w:val="404040" w:themeColor="text1" w:themeTint="BF"/>
    </w:rPr>
  </w:style>
  <w:style w:type="paragraph" w:styleId="ListParagraph">
    <w:name w:val="List Paragraph"/>
    <w:basedOn w:val="Normal"/>
    <w:uiPriority w:val="34"/>
    <w:qFormat/>
    <w:rsid w:val="007559F3"/>
    <w:pPr>
      <w:ind w:left="720"/>
      <w:contextualSpacing/>
    </w:pPr>
  </w:style>
  <w:style w:type="character" w:styleId="IntenseEmphasis">
    <w:name w:val="Intense Emphasis"/>
    <w:basedOn w:val="DefaultParagraphFont"/>
    <w:uiPriority w:val="21"/>
    <w:qFormat/>
    <w:rsid w:val="007559F3"/>
    <w:rPr>
      <w:i/>
      <w:iCs/>
      <w:color w:val="0F4761" w:themeColor="accent1" w:themeShade="BF"/>
    </w:rPr>
  </w:style>
  <w:style w:type="paragraph" w:styleId="IntenseQuote">
    <w:name w:val="Intense Quote"/>
    <w:basedOn w:val="Normal"/>
    <w:next w:val="Normal"/>
    <w:link w:val="IntenseQuoteChar"/>
    <w:uiPriority w:val="30"/>
    <w:qFormat/>
    <w:rsid w:val="00755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9F3"/>
    <w:rPr>
      <w:i/>
      <w:iCs/>
      <w:color w:val="0F4761" w:themeColor="accent1" w:themeShade="BF"/>
    </w:rPr>
  </w:style>
  <w:style w:type="character" w:styleId="IntenseReference">
    <w:name w:val="Intense Reference"/>
    <w:basedOn w:val="DefaultParagraphFont"/>
    <w:uiPriority w:val="32"/>
    <w:qFormat/>
    <w:rsid w:val="007559F3"/>
    <w:rPr>
      <w:b/>
      <w:bCs/>
      <w:smallCaps/>
      <w:color w:val="0F4761" w:themeColor="accent1" w:themeShade="BF"/>
      <w:spacing w:val="5"/>
    </w:rPr>
  </w:style>
  <w:style w:type="paragraph" w:styleId="Header">
    <w:name w:val="header"/>
    <w:basedOn w:val="Normal"/>
    <w:link w:val="HeaderChar"/>
    <w:uiPriority w:val="99"/>
    <w:unhideWhenUsed/>
    <w:rsid w:val="00755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9F3"/>
  </w:style>
  <w:style w:type="paragraph" w:styleId="Footer">
    <w:name w:val="footer"/>
    <w:basedOn w:val="Normal"/>
    <w:link w:val="FooterChar"/>
    <w:uiPriority w:val="99"/>
    <w:unhideWhenUsed/>
    <w:rsid w:val="00755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2027</Words>
  <Characters>11554</Characters>
  <Application>Microsoft Office Word</Application>
  <DocSecurity>0</DocSecurity>
  <Lines>96</Lines>
  <Paragraphs>27</Paragraphs>
  <ScaleCrop>false</ScaleCrop>
  <Company>Saint Louis College of Health Careers</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Swearngin</dc:creator>
  <cp:keywords/>
  <dc:description/>
  <cp:lastModifiedBy>Casey Swearngin</cp:lastModifiedBy>
  <cp:revision>1</cp:revision>
  <dcterms:created xsi:type="dcterms:W3CDTF">2026-08-25T15:54:00Z</dcterms:created>
  <dcterms:modified xsi:type="dcterms:W3CDTF">2026-08-25T15:58:00Z</dcterms:modified>
</cp:coreProperties>
</file>